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8E" w:rsidRDefault="0044368E" w:rsidP="009556B5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TRƯỜ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DUY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TÂN</w:t>
      </w:r>
      <w:r>
        <w:rPr>
          <w:rFonts w:ascii="Times New Roman" w:hAnsi="Times New Roman"/>
          <w:b/>
          <w:bCs/>
          <w:sz w:val="26"/>
          <w:szCs w:val="26"/>
        </w:rPr>
        <w:tab/>
        <w:t>ĐỀ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CƯƠNG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ÔN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MÔN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44368E" w:rsidRPr="00F55136" w:rsidRDefault="0044368E" w:rsidP="009556B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64" w:lineRule="auto"/>
        <w:ind w:left="89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z w:val="26"/>
          <w:szCs w:val="26"/>
        </w:rPr>
        <w:tab/>
        <w:t>BẬC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CAO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ĐẲNG</w:t>
      </w:r>
      <w:r>
        <w:rPr>
          <w:rFonts w:ascii="Times New Roman" w:hAnsi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NĂM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20</w:t>
      </w:r>
      <w:r w:rsidR="005A74E2">
        <w:rPr>
          <w:rFonts w:ascii="Times New Roman" w:hAnsi="Times New Roman"/>
          <w:b/>
          <w:bCs/>
          <w:sz w:val="26"/>
          <w:szCs w:val="26"/>
        </w:rPr>
        <w:t>20</w:t>
      </w:r>
    </w:p>
    <w:p w:rsidR="0044368E" w:rsidRDefault="0044368E" w:rsidP="009556B5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64" w:lineRule="auto"/>
        <w:ind w:left="8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===</w:t>
      </w:r>
      <w:r>
        <w:rPr>
          <w:rFonts w:ascii="Times New Roman" w:hAnsi="Times New Roman"/>
          <w:b/>
          <w:bCs/>
          <w:sz w:val="26"/>
          <w:szCs w:val="26"/>
        </w:rPr>
        <w:t>=</w:t>
      </w:r>
      <w:r>
        <w:rPr>
          <w:rFonts w:ascii="Times New Roman" w:hAnsi="Times New Roman"/>
          <w:b/>
          <w:bCs/>
          <w:sz w:val="26"/>
          <w:szCs w:val="26"/>
        </w:rPr>
        <w:tab/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ind w:left="53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position w:val="-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position w:val="-1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position w:val="-1"/>
          <w:sz w:val="26"/>
          <w:szCs w:val="26"/>
        </w:rPr>
        <w:t>======</w:t>
      </w:r>
      <w:r>
        <w:rPr>
          <w:rFonts w:ascii="Times New Roman" w:hAnsi="Times New Roman"/>
          <w:b/>
          <w:bCs/>
          <w:position w:val="-1"/>
          <w:sz w:val="26"/>
          <w:szCs w:val="26"/>
        </w:rPr>
        <w:t>=</w:t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>
        <w:rPr>
          <w:rFonts w:ascii="Times New Roman" w:hAnsi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QUẢN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TRỊ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1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4368E">
        <w:rPr>
          <w:rFonts w:ascii="Times New Roman" w:hAnsi="Times New Roman"/>
          <w:b/>
          <w:sz w:val="26"/>
          <w:szCs w:val="26"/>
        </w:rPr>
        <w:t xml:space="preserve">1. </w:t>
      </w:r>
      <w:r>
        <w:rPr>
          <w:rFonts w:ascii="Times New Roman" w:hAnsi="Times New Roman"/>
          <w:b/>
          <w:sz w:val="26"/>
          <w:szCs w:val="26"/>
          <w:lang w:val="vi-VN"/>
        </w:rPr>
        <w:t>Phân loại chi phí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1.1. Phân loại theo chức năng hoạt động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1.2. Phân loại theo mối quan hệ với báo cáo tài chính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1.3. Phân loại theo cách ứng xử của chi phí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it-IT"/>
        </w:rPr>
      </w:pPr>
      <w:r w:rsidRPr="0044368E">
        <w:rPr>
          <w:rFonts w:ascii="Times New Roman" w:hAnsi="Times New Roman"/>
          <w:sz w:val="26"/>
          <w:szCs w:val="26"/>
          <w:lang w:val="it-IT"/>
        </w:rPr>
        <w:t>a. Chi phí biến đổi</w:t>
      </w:r>
      <w:r w:rsidRPr="0044368E">
        <w:rPr>
          <w:rFonts w:ascii="Times New Roman" w:hAnsi="Times New Roman"/>
          <w:i/>
          <w:sz w:val="26"/>
          <w:szCs w:val="26"/>
          <w:lang w:val="it-IT"/>
        </w:rPr>
        <w:t>.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it-IT"/>
        </w:rPr>
      </w:pPr>
      <w:r w:rsidRPr="0044368E">
        <w:rPr>
          <w:rFonts w:ascii="Times New Roman" w:hAnsi="Times New Roman"/>
          <w:sz w:val="26"/>
          <w:szCs w:val="26"/>
          <w:lang w:val="it-IT"/>
        </w:rPr>
        <w:t>b. Chi phí cố định</w:t>
      </w:r>
      <w:r w:rsidRPr="0044368E">
        <w:rPr>
          <w:rFonts w:ascii="Times New Roman" w:hAnsi="Times New Roman"/>
          <w:i/>
          <w:sz w:val="26"/>
          <w:szCs w:val="26"/>
          <w:lang w:val="it-IT"/>
        </w:rPr>
        <w:t>.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it-IT"/>
        </w:rPr>
      </w:pPr>
      <w:r w:rsidRPr="0044368E">
        <w:rPr>
          <w:rFonts w:ascii="Times New Roman" w:hAnsi="Times New Roman"/>
          <w:sz w:val="26"/>
          <w:szCs w:val="26"/>
          <w:lang w:val="it-IT"/>
        </w:rPr>
        <w:t xml:space="preserve">c. Chi phí hỗn hợp: 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993"/>
        <w:jc w:val="both"/>
        <w:rPr>
          <w:rFonts w:ascii="Times New Roman" w:hAnsi="Times New Roman"/>
          <w:i/>
          <w:sz w:val="26"/>
          <w:szCs w:val="26"/>
        </w:rPr>
      </w:pPr>
      <w:r w:rsidRPr="0044368E">
        <w:rPr>
          <w:rFonts w:ascii="Times New Roman" w:hAnsi="Times New Roman"/>
          <w:i/>
          <w:sz w:val="26"/>
          <w:szCs w:val="26"/>
        </w:rPr>
        <w:t>- Khái niệm chi phí hỗn hợp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993"/>
        <w:jc w:val="both"/>
        <w:rPr>
          <w:rFonts w:ascii="Times New Roman" w:hAnsi="Times New Roman"/>
          <w:i/>
          <w:sz w:val="26"/>
          <w:szCs w:val="26"/>
        </w:rPr>
      </w:pPr>
      <w:r w:rsidRPr="0044368E">
        <w:rPr>
          <w:rFonts w:ascii="Times New Roman" w:hAnsi="Times New Roman"/>
          <w:i/>
          <w:sz w:val="26"/>
          <w:szCs w:val="26"/>
        </w:rPr>
        <w:t>- Kỹ thuật ước tính chi phí hỗn hợp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left="360" w:firstLine="993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+ Phương pháp đồ thị điểm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left="360" w:firstLine="993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 xml:space="preserve">+ Phương pháp cực đại, cực tiểu 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left="360" w:firstLine="993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+ Phương pháp bình phương bé nhất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b/>
          <w:sz w:val="26"/>
          <w:szCs w:val="26"/>
        </w:rPr>
      </w:pPr>
      <w:r w:rsidRPr="0044368E">
        <w:rPr>
          <w:rFonts w:ascii="Times New Roman" w:hAnsi="Times New Roman"/>
          <w:b/>
          <w:sz w:val="26"/>
          <w:szCs w:val="26"/>
        </w:rPr>
        <w:t xml:space="preserve">2. </w:t>
      </w:r>
      <w:r>
        <w:rPr>
          <w:rFonts w:ascii="Times New Roman" w:hAnsi="Times New Roman"/>
          <w:b/>
          <w:sz w:val="26"/>
          <w:szCs w:val="26"/>
          <w:lang w:val="vi-VN"/>
        </w:rPr>
        <w:t>Phân tích mối quan hệ chi phí-sản lượng-lợi nhuận (CVP)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2.1. Những vấn đề cơ bản của việc phân tích CVP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sz w:val="26"/>
          <w:szCs w:val="26"/>
        </w:rPr>
        <w:t>a. Số dư đảm phí: (CM)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fr-FR"/>
        </w:rPr>
      </w:pPr>
      <w:r w:rsidRPr="0044368E">
        <w:rPr>
          <w:rFonts w:ascii="Times New Roman" w:hAnsi="Times New Roman"/>
          <w:sz w:val="26"/>
          <w:szCs w:val="26"/>
          <w:lang w:val="fr-FR"/>
        </w:rPr>
        <w:t>b. Tỷ lệ số dư đảm phí (R</w:t>
      </w:r>
      <w:r w:rsidRPr="0044368E">
        <w:rPr>
          <w:rFonts w:ascii="Times New Roman" w:hAnsi="Times New Roman"/>
          <w:sz w:val="26"/>
          <w:szCs w:val="26"/>
          <w:vertAlign w:val="subscript"/>
          <w:lang w:val="fr-FR"/>
        </w:rPr>
        <w:t>CM</w:t>
      </w:r>
      <w:r w:rsidRPr="0044368E">
        <w:rPr>
          <w:rFonts w:ascii="Times New Roman" w:hAnsi="Times New Roman"/>
          <w:sz w:val="26"/>
          <w:szCs w:val="26"/>
          <w:lang w:val="fr-FR"/>
        </w:rPr>
        <w:t>)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fr-FR"/>
        </w:rPr>
      </w:pPr>
      <w:r w:rsidRPr="0044368E">
        <w:rPr>
          <w:rFonts w:ascii="Times New Roman" w:hAnsi="Times New Roman"/>
          <w:sz w:val="26"/>
          <w:szCs w:val="26"/>
          <w:lang w:val="fr-FR"/>
        </w:rPr>
        <w:t>c. Kết cấu chi phí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fr-FR"/>
        </w:rPr>
      </w:pPr>
      <w:r w:rsidRPr="0044368E">
        <w:rPr>
          <w:rFonts w:ascii="Times New Roman" w:hAnsi="Times New Roman"/>
          <w:sz w:val="26"/>
          <w:szCs w:val="26"/>
          <w:lang w:val="fr-FR"/>
        </w:rPr>
        <w:t>d. Đòn bẩy kinh doanh (L</w:t>
      </w:r>
      <w:r w:rsidRPr="0044368E">
        <w:rPr>
          <w:rFonts w:ascii="Times New Roman" w:hAnsi="Times New Roman"/>
          <w:sz w:val="26"/>
          <w:szCs w:val="26"/>
          <w:vertAlign w:val="subscript"/>
          <w:lang w:val="fr-FR"/>
        </w:rPr>
        <w:t>f</w:t>
      </w:r>
      <w:r w:rsidRPr="0044368E">
        <w:rPr>
          <w:rFonts w:ascii="Times New Roman" w:hAnsi="Times New Roman"/>
          <w:sz w:val="26"/>
          <w:szCs w:val="26"/>
          <w:lang w:val="fr-FR"/>
        </w:rPr>
        <w:t>)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/>
        <w:jc w:val="both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2.2. Phân tích mối quan hệ CVP và lựa chọn phương án kinh doanh </w:t>
      </w:r>
    </w:p>
    <w:p w:rsidR="0044368E" w:rsidRPr="0044368E" w:rsidRDefault="0044368E" w:rsidP="009556B5">
      <w:pPr>
        <w:tabs>
          <w:tab w:val="left" w:pos="360"/>
          <w:tab w:val="left" w:pos="3240"/>
          <w:tab w:val="center" w:pos="432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a. Lựa chọn phương án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KD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khi có sự biến động về định phí và doanh thu</w:t>
      </w:r>
    </w:p>
    <w:p w:rsidR="0044368E" w:rsidRPr="0044368E" w:rsidRDefault="0044368E" w:rsidP="009556B5">
      <w:pPr>
        <w:tabs>
          <w:tab w:val="left" w:pos="360"/>
          <w:tab w:val="left" w:pos="3240"/>
          <w:tab w:val="center" w:pos="432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b. Lựa chọn phương án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KD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khi có sự biến động về biến phí và doanh thu</w:t>
      </w:r>
    </w:p>
    <w:p w:rsidR="0044368E" w:rsidRPr="0044368E" w:rsidRDefault="0044368E" w:rsidP="009556B5">
      <w:pPr>
        <w:tabs>
          <w:tab w:val="left" w:pos="360"/>
          <w:tab w:val="left" w:pos="3240"/>
          <w:tab w:val="center" w:pos="432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c. Lựa chọn phương án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KD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khi có sự biến động về biến phí, định phí và doanh thu</w:t>
      </w:r>
    </w:p>
    <w:p w:rsidR="0044368E" w:rsidRPr="0044368E" w:rsidRDefault="0044368E" w:rsidP="009556B5">
      <w:pPr>
        <w:tabs>
          <w:tab w:val="left" w:pos="360"/>
          <w:tab w:val="left" w:pos="3240"/>
          <w:tab w:val="center" w:pos="432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d. Lựa chọn phương án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KD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khi có sự biến động về định phí, giá bán và doanh thu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/>
        <w:jc w:val="both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b/>
          <w:color w:val="000000"/>
          <w:sz w:val="26"/>
          <w:szCs w:val="26"/>
          <w:lang w:val="fr-FR"/>
        </w:rPr>
        <w:t>2.3. Phân tích điểm hòa vốn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498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>a. Khái niệm điểm hòa vốn 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498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>b. Phương pháp xác định điểm hòa vốn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1065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  b1. Tr</w:t>
      </w:r>
      <w:r>
        <w:rPr>
          <w:rFonts w:ascii="Times New Roman" w:hAnsi="Times New Roman"/>
          <w:color w:val="000000"/>
          <w:sz w:val="26"/>
          <w:szCs w:val="26"/>
          <w:lang w:val="fr-FR"/>
        </w:rPr>
        <w:t xml:space="preserve">ường hợp DN kinh doanh 1 loại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sản phẩm</w:t>
      </w:r>
    </w:p>
    <w:p w:rsidR="0044368E" w:rsidRPr="0044368E" w:rsidRDefault="0044368E" w:rsidP="009556B5">
      <w:pPr>
        <w:spacing w:after="0" w:line="264" w:lineRule="auto"/>
        <w:ind w:firstLine="1065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 b2. Trường hợp DN kinh doanh nhiề</w:t>
      </w:r>
      <w:r>
        <w:rPr>
          <w:rFonts w:ascii="Times New Roman" w:hAnsi="Times New Roman"/>
          <w:color w:val="000000"/>
          <w:sz w:val="26"/>
          <w:szCs w:val="26"/>
          <w:lang w:val="fr-FR"/>
        </w:rPr>
        <w:t xml:space="preserve">u loại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sản phẩm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498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c. Doanh thu an toàn và tỷ lệ doanh thu an toàn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44368E">
        <w:rPr>
          <w:rFonts w:ascii="Times New Roman" w:hAnsi="Times New Roman"/>
          <w:b/>
          <w:color w:val="000000"/>
          <w:sz w:val="26"/>
          <w:szCs w:val="26"/>
        </w:rPr>
        <w:t xml:space="preserve">3.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Dự toán tổng thể doanh nghiệp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3.1. Dự toán tổng thể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3.2. Dự toán tiêu thụ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3.3. Dự toán sản xuất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3.4. Dự toán chi phí nguyên vật liệu trực tiếp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3.5. Dự toán chi phí nhân công trực tiếp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3.6. Dự toán chi phí sản xuất chung</w:t>
      </w:r>
    </w:p>
    <w:p w:rsid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3.7. Dự toán chi phí bán hàng và quản lý doanh nghiệp</w:t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1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sz w:val="26"/>
          <w:szCs w:val="26"/>
        </w:rPr>
      </w:pPr>
      <w:r w:rsidRPr="00704DA6">
        <w:rPr>
          <w:rFonts w:ascii="Times New Roman" w:hAnsi="Times New Roman"/>
          <w:b/>
          <w:bCs/>
          <w:sz w:val="26"/>
          <w:szCs w:val="26"/>
        </w:rPr>
        <w:t>1. Kế toán nguyên vật liệu, công cụ dụng cụ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704DA6">
        <w:rPr>
          <w:rFonts w:ascii="Times New Roman" w:hAnsi="Times New Roman"/>
          <w:b/>
          <w:bCs/>
          <w:i/>
          <w:iCs/>
          <w:sz w:val="26"/>
          <w:szCs w:val="26"/>
        </w:rPr>
        <w:t>1.1 Tính giá nguyên vật liệu, công cụ dụng cụ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</w:rPr>
      </w:pPr>
      <w:r w:rsidRPr="00704DA6">
        <w:rPr>
          <w:rFonts w:ascii="Times New Roman" w:hAnsi="Times New Roman"/>
          <w:i/>
          <w:iCs/>
          <w:sz w:val="26"/>
          <w:szCs w:val="26"/>
        </w:rPr>
        <w:lastRenderedPageBreak/>
        <w:t>a. Tính giá nguyên vật liệ</w:t>
      </w:r>
      <w:r w:rsidR="00A02E51">
        <w:rPr>
          <w:rFonts w:ascii="Times New Roman" w:hAnsi="Times New Roman"/>
          <w:i/>
          <w:iCs/>
          <w:sz w:val="26"/>
          <w:szCs w:val="26"/>
        </w:rPr>
        <w:t>u</w:t>
      </w:r>
      <w:r w:rsidRPr="00704DA6">
        <w:rPr>
          <w:rFonts w:ascii="Times New Roman" w:hAnsi="Times New Roman"/>
          <w:i/>
          <w:iCs/>
          <w:sz w:val="26"/>
          <w:szCs w:val="26"/>
        </w:rPr>
        <w:t>, công cụ dụng cụ nhập kho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>+ Nhập kho do mua ngoài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>+ Nhập kho do mua trả chậm, trả góp</w:t>
      </w:r>
    </w:p>
    <w:p w:rsidR="00A02E51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Nhập kho do nhận và nhận lại vốn đầu tư từ đơn vị khác ( Công ty con, công ty liên doanh liên kết)</w:t>
      </w:r>
      <w:r w:rsidR="00A02E51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44368E" w:rsidRPr="00A02E51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b. Tính giá nguyên vật liệu, công cụ dụng cụ xuất kho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Tính theo phương pháp nhập trước  - xuất trước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Tính theo phương pháp bình quân gia quyền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t>1.2 Kế toán tổng hợp vật liệu, dụng cụ theo phương pháp KKTX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a. Kế toán các nghiệp vụ tăng nguyên vật liệu, công cụ dụng cụ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 xml:space="preserve">+ </w:t>
      </w:r>
      <w:r>
        <w:rPr>
          <w:rFonts w:ascii="Times New Roman" w:hAnsi="Times New Roman"/>
          <w:sz w:val="26"/>
          <w:szCs w:val="26"/>
          <w:lang w:val="pt-BR"/>
        </w:rPr>
        <w:t>Tăng</w:t>
      </w:r>
      <w:r w:rsidRPr="005F6A07">
        <w:rPr>
          <w:rFonts w:ascii="Times New Roman" w:hAnsi="Times New Roman"/>
          <w:sz w:val="26"/>
          <w:szCs w:val="26"/>
          <w:lang w:val="pt-BR"/>
        </w:rPr>
        <w:t xml:space="preserve"> do mua ngoài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 xml:space="preserve">+ </w:t>
      </w:r>
      <w:r>
        <w:rPr>
          <w:rFonts w:ascii="Times New Roman" w:hAnsi="Times New Roman"/>
          <w:sz w:val="26"/>
          <w:szCs w:val="26"/>
          <w:lang w:val="pt-BR"/>
        </w:rPr>
        <w:t>Tăng</w:t>
      </w:r>
      <w:r w:rsidRPr="005F6A07">
        <w:rPr>
          <w:rFonts w:ascii="Times New Roman" w:hAnsi="Times New Roman"/>
          <w:sz w:val="26"/>
          <w:szCs w:val="26"/>
          <w:lang w:val="pt-BR"/>
        </w:rPr>
        <w:t xml:space="preserve"> do mua trả chậm, trả góp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Tăng do nhận và nhận lại vốn đầu tư từ đơn vị khác (Công ty con, công ty liên doanh liên kết)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b. Kế toán các nghiệp vụ giảm nguyên vật liệu, công cụ dụng cụ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Xuất kho dùng cho sản xuất kinh doanh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Xuất đầu tư vào các đơn vị khác (Công ty con, công ty liên doanh liên kết)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Xuất trả lại cho người bán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c. Kế toán các nghiệp vụ liên quan khác khi mua nguyên vật liệu, công cụ dụng cụ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Chiết khấu thanh toán được hưởng</w:t>
      </w:r>
      <w:r w:rsidRPr="00294422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khi mua nguyên vật liệu, công cụ dụng cụ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Chiết khấu thương mại được hưởng khi mua nguyên vật liệu, công cụ dụng cụ (Chiết khấu sau hóa đơn)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Được giảm giá khi mua nguyên vật liệu, công cụ dụng cụ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294422">
        <w:rPr>
          <w:rFonts w:ascii="Times New Roman" w:hAnsi="Times New Roman"/>
          <w:b/>
          <w:bCs/>
          <w:sz w:val="26"/>
          <w:szCs w:val="26"/>
          <w:u w:val="single"/>
          <w:lang w:val="pt-BR"/>
        </w:rPr>
        <w:t>GHI CHÚ</w:t>
      </w:r>
      <w:r>
        <w:rPr>
          <w:rFonts w:ascii="Times New Roman" w:hAnsi="Times New Roman"/>
          <w:sz w:val="26"/>
          <w:szCs w:val="26"/>
          <w:lang w:val="pt-BR"/>
        </w:rPr>
        <w:t xml:space="preserve">: </w:t>
      </w:r>
      <w:r w:rsidRPr="00294422">
        <w:rPr>
          <w:rFonts w:ascii="Times New Roman" w:hAnsi="Times New Roman"/>
          <w:i/>
          <w:iCs/>
          <w:sz w:val="26"/>
          <w:szCs w:val="26"/>
          <w:lang w:val="pt-BR"/>
        </w:rPr>
        <w:t>Không lập bảng phân bổ nguyên vật liệu, công cụ dụng cụ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704DA6">
        <w:rPr>
          <w:rFonts w:ascii="Times New Roman" w:hAnsi="Times New Roman"/>
          <w:b/>
          <w:bCs/>
          <w:sz w:val="26"/>
          <w:szCs w:val="26"/>
          <w:lang w:val="pt-BR"/>
        </w:rPr>
        <w:t>2. Kế toán tài sản cố định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t>2.1 Kế toán tổng hợp tài sản cố định hữu hình và vô hình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a. Kế toán tổng hợp các nghiệp vụ tăng TSCĐHH và TSCĐVH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 xml:space="preserve">+ </w:t>
      </w:r>
      <w:r>
        <w:rPr>
          <w:rFonts w:ascii="Times New Roman" w:hAnsi="Times New Roman"/>
          <w:sz w:val="26"/>
          <w:szCs w:val="26"/>
          <w:lang w:val="pt-BR"/>
        </w:rPr>
        <w:t>Tăng</w:t>
      </w:r>
      <w:r w:rsidRPr="005F6A07">
        <w:rPr>
          <w:rFonts w:ascii="Times New Roman" w:hAnsi="Times New Roman"/>
          <w:sz w:val="26"/>
          <w:szCs w:val="26"/>
          <w:lang w:val="pt-BR"/>
        </w:rPr>
        <w:t xml:space="preserve"> do mua ngoài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 xml:space="preserve">+ </w:t>
      </w:r>
      <w:r>
        <w:rPr>
          <w:rFonts w:ascii="Times New Roman" w:hAnsi="Times New Roman"/>
          <w:sz w:val="26"/>
          <w:szCs w:val="26"/>
          <w:lang w:val="pt-BR"/>
        </w:rPr>
        <w:t>Tăng</w:t>
      </w:r>
      <w:r w:rsidRPr="005F6A07">
        <w:rPr>
          <w:rFonts w:ascii="Times New Roman" w:hAnsi="Times New Roman"/>
          <w:sz w:val="26"/>
          <w:szCs w:val="26"/>
          <w:lang w:val="pt-BR"/>
        </w:rPr>
        <w:t xml:space="preserve"> do mua trả chậm, trả góp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Tăng do nhận và nhận lại vốn đầu tư từ đơn vị khác (Công ty con, công ty liên doanh liên kết)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b. Kế toán tổng hợp các nghiệp vụ giảm TSCĐHH và TSCĐVH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704DA6">
        <w:rPr>
          <w:rFonts w:ascii="Times New Roman" w:hAnsi="Times New Roman"/>
          <w:sz w:val="26"/>
          <w:szCs w:val="26"/>
          <w:lang w:val="pt-BR"/>
        </w:rPr>
        <w:t>+ Giảm do thanh l‎ý, nhượng bán</w:t>
      </w:r>
    </w:p>
    <w:p w:rsidR="0044368E" w:rsidRPr="00294422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Giảm do đầu tư vào các đơn vị khác </w:t>
      </w:r>
      <w:r w:rsidRPr="00294422">
        <w:rPr>
          <w:rFonts w:ascii="Times New Roman" w:hAnsi="Times New Roman"/>
          <w:sz w:val="26"/>
          <w:szCs w:val="26"/>
        </w:rPr>
        <w:t>(Công ty con, công ty liên doanh liên kết)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</w:rPr>
      </w:pPr>
      <w:r w:rsidRPr="00704DA6">
        <w:rPr>
          <w:rFonts w:ascii="Times New Roman" w:hAnsi="Times New Roman"/>
          <w:i/>
          <w:iCs/>
          <w:sz w:val="26"/>
          <w:szCs w:val="26"/>
        </w:rPr>
        <w:t>c. Kế toán chiết khấu thanh toán được hưởng khi thanh toán tiền mua TSCĐ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704DA6">
        <w:rPr>
          <w:rFonts w:ascii="Times New Roman" w:hAnsi="Times New Roman"/>
          <w:b/>
          <w:bCs/>
          <w:i/>
          <w:iCs/>
          <w:sz w:val="26"/>
          <w:szCs w:val="26"/>
        </w:rPr>
        <w:t>2.2 Kế toán khấu hao tài sản cố định hữu hình và vô hình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Tính mức khấu hao tháng theo các phương pháp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khấu hao TSCĐ hữu hình và vô hình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khấu hao trong các trường hợp giảm TSCĐ hữu hình và vô hình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sz w:val="26"/>
          <w:szCs w:val="26"/>
        </w:rPr>
      </w:pPr>
      <w:r w:rsidRPr="00704DA6">
        <w:rPr>
          <w:rFonts w:ascii="Times New Roman" w:hAnsi="Times New Roman"/>
          <w:b/>
          <w:bCs/>
          <w:sz w:val="26"/>
          <w:szCs w:val="26"/>
        </w:rPr>
        <w:t>3. Kế toán tiền lương và các khoản trích theo lương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nghiệp vụ tính tiền lương phải trả cho người lao động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nghiệp vụ trích BHXH, BHYT, BHTN, KPCĐ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các khoản khấu trừ vào lương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nghiệp vụ thanh toán các khoản phải trả người lao động</w:t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62CA9">
        <w:rPr>
          <w:rFonts w:ascii="Times New Roman" w:hAnsi="Times New Roman"/>
          <w:b/>
          <w:bCs/>
          <w:sz w:val="26"/>
          <w:szCs w:val="26"/>
          <w:u w:val="single"/>
        </w:rPr>
        <w:t>GHI CHÚ</w:t>
      </w:r>
      <w:r w:rsidRPr="00462CA9">
        <w:rPr>
          <w:rFonts w:ascii="Times New Roman" w:hAnsi="Times New Roman"/>
          <w:sz w:val="26"/>
          <w:szCs w:val="26"/>
        </w:rPr>
        <w:t xml:space="preserve">: </w:t>
      </w:r>
      <w:r w:rsidRPr="00462CA9">
        <w:rPr>
          <w:rFonts w:ascii="Times New Roman" w:hAnsi="Times New Roman"/>
          <w:i/>
          <w:iCs/>
          <w:sz w:val="26"/>
          <w:szCs w:val="26"/>
        </w:rPr>
        <w:t xml:space="preserve">Không lập bảng phân bổ </w:t>
      </w:r>
      <w:r>
        <w:rPr>
          <w:rFonts w:ascii="Times New Roman" w:hAnsi="Times New Roman"/>
          <w:i/>
          <w:iCs/>
          <w:sz w:val="26"/>
          <w:szCs w:val="26"/>
        </w:rPr>
        <w:t>tiền lương và bảo hiểm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III. 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LIỆU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THAM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KHẢO</w:t>
      </w:r>
    </w:p>
    <w:p w:rsidR="0044368E" w:rsidRPr="00BF4B62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pacing w:val="-10"/>
          <w:sz w:val="26"/>
          <w:szCs w:val="26"/>
        </w:rPr>
      </w:pPr>
      <w:r w:rsidRPr="00BF4B62">
        <w:rPr>
          <w:rFonts w:ascii="Times New Roman" w:hAnsi="Times New Roman"/>
          <w:spacing w:val="-10"/>
          <w:sz w:val="26"/>
          <w:szCs w:val="26"/>
        </w:rPr>
        <w:t xml:space="preserve">1. </w:t>
      </w:r>
      <w:r w:rsidR="009556B5">
        <w:rPr>
          <w:rFonts w:ascii="Times New Roman" w:hAnsi="Times New Roman"/>
          <w:spacing w:val="-10"/>
          <w:sz w:val="26"/>
          <w:szCs w:val="26"/>
        </w:rPr>
        <w:t xml:space="preserve">Lê Đức Toàn và </w:t>
      </w:r>
      <w:r w:rsidRPr="00BF4B62">
        <w:rPr>
          <w:rFonts w:ascii="Times New Roman" w:hAnsi="Times New Roman"/>
          <w:spacing w:val="-10"/>
          <w:sz w:val="26"/>
          <w:szCs w:val="26"/>
        </w:rPr>
        <w:t xml:space="preserve"> Hồ </w:t>
      </w:r>
      <w:r w:rsidR="00822C6B">
        <w:rPr>
          <w:rFonts w:ascii="Times New Roman" w:hAnsi="Times New Roman"/>
          <w:spacing w:val="-10"/>
          <w:sz w:val="26"/>
          <w:szCs w:val="26"/>
        </w:rPr>
        <w:t xml:space="preserve">Văn Nhàn, </w:t>
      </w:r>
      <w:r w:rsidR="009556B5" w:rsidRPr="009556B5">
        <w:rPr>
          <w:rFonts w:ascii="Times New Roman" w:hAnsi="Times New Roman"/>
          <w:i/>
          <w:spacing w:val="-10"/>
          <w:sz w:val="26"/>
          <w:szCs w:val="26"/>
        </w:rPr>
        <w:t>Giáo trình</w:t>
      </w:r>
      <w:r w:rsidR="009556B5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822C6B" w:rsidRPr="009556B5">
        <w:rPr>
          <w:rFonts w:ascii="Times New Roman" w:hAnsi="Times New Roman"/>
          <w:i/>
          <w:spacing w:val="-10"/>
          <w:sz w:val="26"/>
          <w:szCs w:val="26"/>
        </w:rPr>
        <w:t>Kế toán quản trị 1</w:t>
      </w:r>
      <w:r w:rsidR="00822C6B">
        <w:rPr>
          <w:rFonts w:ascii="Times New Roman" w:hAnsi="Times New Roman"/>
          <w:spacing w:val="-10"/>
          <w:sz w:val="26"/>
          <w:szCs w:val="26"/>
        </w:rPr>
        <w:t>, NXB</w:t>
      </w:r>
      <w:r w:rsidRPr="00BF4B62">
        <w:rPr>
          <w:rFonts w:ascii="Times New Roman" w:hAnsi="Times New Roman"/>
          <w:spacing w:val="-10"/>
          <w:sz w:val="26"/>
          <w:szCs w:val="26"/>
        </w:rPr>
        <w:t xml:space="preserve"> Đà Nẵng,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BF4B62">
        <w:rPr>
          <w:rFonts w:ascii="Times New Roman" w:hAnsi="Times New Roman"/>
          <w:spacing w:val="-10"/>
          <w:sz w:val="26"/>
          <w:szCs w:val="26"/>
        </w:rPr>
        <w:t>2010.</w:t>
      </w:r>
    </w:p>
    <w:p w:rsidR="00A73B8E" w:rsidRDefault="0044368E" w:rsidP="00A73B8E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9556B5">
        <w:rPr>
          <w:rFonts w:ascii="Times New Roman" w:hAnsi="Times New Roman"/>
          <w:spacing w:val="3"/>
          <w:sz w:val="26"/>
          <w:szCs w:val="26"/>
        </w:rPr>
        <w:t xml:space="preserve"> Lê Thị Huyền Trâm hoặc Nguyễn Thị Hồng Sương, </w:t>
      </w:r>
      <w:r w:rsidR="009556B5" w:rsidRPr="009556B5">
        <w:rPr>
          <w:rFonts w:ascii="Times New Roman" w:hAnsi="Times New Roman"/>
          <w:i/>
          <w:spacing w:val="3"/>
          <w:sz w:val="26"/>
          <w:szCs w:val="26"/>
        </w:rPr>
        <w:t xml:space="preserve">Giáo trình nội bộ </w:t>
      </w:r>
      <w:r w:rsidRPr="009556B5">
        <w:rPr>
          <w:rFonts w:ascii="Times New Roman" w:hAnsi="Times New Roman"/>
          <w:i/>
          <w:sz w:val="26"/>
          <w:szCs w:val="26"/>
        </w:rPr>
        <w:t>Kế</w:t>
      </w:r>
      <w:r w:rsidRPr="009556B5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toán</w:t>
      </w:r>
      <w:r w:rsidRPr="009556B5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quản</w:t>
      </w:r>
      <w:r w:rsidRPr="009556B5">
        <w:rPr>
          <w:rFonts w:ascii="Times New Roman" w:hAnsi="Times New Roman"/>
          <w:i/>
          <w:spacing w:val="-3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trị 1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Đại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học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Duy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Tân,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</w:t>
      </w:r>
      <w:r w:rsidR="006B2053">
        <w:rPr>
          <w:rFonts w:ascii="Times New Roman" w:hAnsi="Times New Roman"/>
          <w:sz w:val="26"/>
          <w:szCs w:val="26"/>
        </w:rPr>
        <w:t>9</w:t>
      </w:r>
    </w:p>
    <w:p w:rsidR="0044368E" w:rsidRDefault="009556B5" w:rsidP="00A73B8E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4368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Lê Đức Toàn và Nguyễn Thị </w:t>
      </w:r>
      <w:r w:rsidRPr="000C7622">
        <w:rPr>
          <w:rFonts w:ascii="Times New Roman" w:hAnsi="Times New Roman"/>
          <w:color w:val="000000"/>
          <w:sz w:val="26"/>
          <w:szCs w:val="26"/>
        </w:rPr>
        <w:t>Lãnh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0C762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4368E" w:rsidRPr="009556B5">
        <w:rPr>
          <w:rFonts w:ascii="Times New Roman" w:hAnsi="Times New Roman"/>
          <w:i/>
          <w:color w:val="000000"/>
          <w:sz w:val="26"/>
          <w:szCs w:val="26"/>
        </w:rPr>
        <w:t>Tóm tắt lý thuyết và bài tập Kế toán quản trị</w:t>
      </w:r>
      <w:r w:rsidR="0044368E" w:rsidRPr="000C7622">
        <w:rPr>
          <w:rFonts w:ascii="Times New Roman" w:hAnsi="Times New Roman"/>
          <w:color w:val="000000"/>
          <w:sz w:val="26"/>
          <w:szCs w:val="26"/>
        </w:rPr>
        <w:t xml:space="preserve"> , </w:t>
      </w:r>
      <w:r>
        <w:rPr>
          <w:rFonts w:ascii="Times New Roman" w:hAnsi="Times New Roman"/>
          <w:color w:val="000000"/>
          <w:sz w:val="26"/>
          <w:szCs w:val="26"/>
        </w:rPr>
        <w:t>NXB Đà Nẵng</w:t>
      </w:r>
      <w:r w:rsidR="0044368E" w:rsidRPr="000C7622">
        <w:rPr>
          <w:rFonts w:ascii="Times New Roman" w:hAnsi="Times New Roman"/>
          <w:color w:val="000000"/>
          <w:sz w:val="26"/>
          <w:szCs w:val="26"/>
        </w:rPr>
        <w:t>, 2009</w:t>
      </w:r>
      <w:r w:rsidR="002A4F63">
        <w:rPr>
          <w:rFonts w:ascii="Times New Roman" w:hAnsi="Times New Roman"/>
          <w:color w:val="000000"/>
          <w:sz w:val="26"/>
          <w:szCs w:val="26"/>
        </w:rPr>
        <w:t>.</w:t>
      </w:r>
    </w:p>
    <w:p w:rsidR="0044368E" w:rsidRPr="00822C6B" w:rsidRDefault="009556B5" w:rsidP="009556B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4368E">
        <w:rPr>
          <w:rFonts w:ascii="Times New Roman" w:hAnsi="Times New Roman"/>
          <w:sz w:val="26"/>
          <w:szCs w:val="26"/>
        </w:rPr>
        <w:t>.</w:t>
      </w:r>
      <w:r w:rsidR="0044368E">
        <w:rPr>
          <w:rFonts w:ascii="Times New Roman" w:hAnsi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spacing w:val="3"/>
          <w:sz w:val="26"/>
          <w:szCs w:val="26"/>
        </w:rPr>
        <w:t xml:space="preserve">Nguyễn Thị Tấm hoặc Dương Thị Thanh Hiền, </w:t>
      </w:r>
      <w:r w:rsidRPr="009556B5">
        <w:rPr>
          <w:rFonts w:ascii="Times New Roman" w:hAnsi="Times New Roman"/>
          <w:i/>
          <w:spacing w:val="3"/>
          <w:sz w:val="26"/>
          <w:szCs w:val="26"/>
        </w:rPr>
        <w:t xml:space="preserve">Giáo trình nội bộ </w:t>
      </w:r>
      <w:r w:rsidRPr="009556B5">
        <w:rPr>
          <w:rFonts w:ascii="Times New Roman" w:hAnsi="Times New Roman"/>
          <w:i/>
          <w:sz w:val="26"/>
          <w:szCs w:val="26"/>
        </w:rPr>
        <w:t>Kế</w:t>
      </w:r>
      <w:r w:rsidRPr="009556B5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toán</w:t>
      </w:r>
      <w:r w:rsidRPr="009556B5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quản</w:t>
      </w:r>
      <w:r w:rsidRPr="009556B5">
        <w:rPr>
          <w:rFonts w:ascii="Times New Roman" w:hAnsi="Times New Roman"/>
          <w:i/>
          <w:spacing w:val="-3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trị 1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Đại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học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Duy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Tân,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6B2053">
        <w:rPr>
          <w:rFonts w:ascii="Times New Roman" w:hAnsi="Times New Roman"/>
          <w:sz w:val="26"/>
          <w:szCs w:val="26"/>
        </w:rPr>
        <w:t>2019</w:t>
      </w:r>
    </w:p>
    <w:p w:rsidR="0044368E" w:rsidRPr="00206F7E" w:rsidRDefault="00A73B8E" w:rsidP="009556B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5</w:t>
      </w:r>
      <w:r w:rsidR="0044368E" w:rsidRPr="00206F7E">
        <w:rPr>
          <w:rFonts w:ascii="Times New Roman" w:hAnsi="Times New Roman"/>
          <w:sz w:val="26"/>
          <w:szCs w:val="26"/>
        </w:rPr>
        <w:t>.</w:t>
      </w:r>
      <w:r w:rsidR="0044368E" w:rsidRPr="00206F7E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Các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pacing w:val="-4"/>
          <w:sz w:val="26"/>
          <w:szCs w:val="26"/>
        </w:rPr>
        <w:t>v</w:t>
      </w:r>
      <w:r w:rsidR="0044368E" w:rsidRPr="00206F7E">
        <w:rPr>
          <w:rFonts w:ascii="Times New Roman" w:hAnsi="Times New Roman"/>
          <w:sz w:val="26"/>
          <w:szCs w:val="26"/>
        </w:rPr>
        <w:t>ăn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bản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pacing w:val="-5"/>
          <w:sz w:val="26"/>
          <w:szCs w:val="26"/>
        </w:rPr>
        <w:t>v</w:t>
      </w:r>
      <w:r w:rsidR="0044368E" w:rsidRPr="00206F7E">
        <w:rPr>
          <w:rFonts w:ascii="Times New Roman" w:hAnsi="Times New Roman"/>
          <w:sz w:val="26"/>
          <w:szCs w:val="26"/>
        </w:rPr>
        <w:t xml:space="preserve">ề </w:t>
      </w:r>
      <w:r w:rsidR="0044368E" w:rsidRPr="00206F7E">
        <w:rPr>
          <w:rFonts w:ascii="Times New Roman" w:hAnsi="Times New Roman"/>
          <w:spacing w:val="-5"/>
          <w:sz w:val="26"/>
          <w:szCs w:val="26"/>
        </w:rPr>
        <w:t>k</w:t>
      </w:r>
      <w:r w:rsidR="0044368E" w:rsidRPr="00206F7E">
        <w:rPr>
          <w:rFonts w:ascii="Times New Roman" w:hAnsi="Times New Roman"/>
          <w:sz w:val="26"/>
          <w:szCs w:val="26"/>
        </w:rPr>
        <w:t>ế toán</w:t>
      </w:r>
      <w:r w:rsidR="000436A7" w:rsidRPr="00206F7E">
        <w:rPr>
          <w:rFonts w:ascii="Times New Roman" w:hAnsi="Times New Roman"/>
          <w:sz w:val="26"/>
          <w:szCs w:val="26"/>
        </w:rPr>
        <w:t>,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pacing w:val="1"/>
          <w:sz w:val="26"/>
          <w:szCs w:val="26"/>
        </w:rPr>
        <w:t>t</w:t>
      </w:r>
      <w:r w:rsidR="0044368E" w:rsidRPr="00206F7E">
        <w:rPr>
          <w:rFonts w:ascii="Times New Roman" w:hAnsi="Times New Roman"/>
          <w:sz w:val="26"/>
          <w:szCs w:val="26"/>
        </w:rPr>
        <w:t>ài chính</w:t>
      </w:r>
      <w:r w:rsidR="000436A7" w:rsidRPr="00206F7E">
        <w:rPr>
          <w:rFonts w:ascii="Times New Roman" w:hAnsi="Times New Roman"/>
          <w:sz w:val="26"/>
          <w:szCs w:val="26"/>
        </w:rPr>
        <w:t>, thuế</w:t>
      </w:r>
      <w:r w:rsidR="0044368E" w:rsidRPr="00206F7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do</w:t>
      </w:r>
      <w:r w:rsidR="0044368E" w:rsidRPr="00206F7E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pacing w:val="1"/>
          <w:sz w:val="26"/>
          <w:szCs w:val="26"/>
        </w:rPr>
        <w:t>B</w:t>
      </w:r>
      <w:r w:rsidR="0044368E" w:rsidRPr="00206F7E">
        <w:rPr>
          <w:rFonts w:ascii="Times New Roman" w:hAnsi="Times New Roman"/>
          <w:sz w:val="26"/>
          <w:szCs w:val="26"/>
        </w:rPr>
        <w:t>ộ</w:t>
      </w:r>
      <w:r w:rsidR="0044368E" w:rsidRPr="00206F7E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Tài</w:t>
      </w:r>
      <w:r w:rsidR="0044368E" w:rsidRPr="00206F7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chính</w:t>
      </w:r>
      <w:r w:rsidR="0044368E" w:rsidRPr="00206F7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ban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hành</w:t>
      </w:r>
      <w:r w:rsidR="0044368E" w:rsidRPr="00206F7E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0436A7" w:rsidRPr="00206F7E">
        <w:rPr>
          <w:rFonts w:ascii="Times New Roman" w:hAnsi="Times New Roman"/>
          <w:spacing w:val="1"/>
          <w:sz w:val="26"/>
          <w:szCs w:val="26"/>
        </w:rPr>
        <w:t>có hiệu lực từ 01/01/20</w:t>
      </w:r>
      <w:r w:rsidR="006B2053">
        <w:rPr>
          <w:rFonts w:ascii="Times New Roman" w:hAnsi="Times New Roman"/>
          <w:spacing w:val="1"/>
          <w:sz w:val="26"/>
          <w:szCs w:val="26"/>
        </w:rPr>
        <w:t>20</w:t>
      </w:r>
    </w:p>
    <w:p w:rsidR="0044368E" w:rsidRPr="006B2053" w:rsidRDefault="0044368E" w:rsidP="006B2053">
      <w:pPr>
        <w:widowControl w:val="0"/>
        <w:tabs>
          <w:tab w:val="left" w:pos="3460"/>
          <w:tab w:val="left" w:pos="6600"/>
        </w:tabs>
        <w:autoSpaceDE w:val="0"/>
        <w:autoSpaceDN w:val="0"/>
        <w:adjustRightInd w:val="0"/>
        <w:spacing w:after="0" w:line="264" w:lineRule="auto"/>
        <w:ind w:left="302" w:right="-59"/>
        <w:jc w:val="center"/>
        <w:rPr>
          <w:rFonts w:ascii="Times New Roman" w:hAnsi="Times New Roman"/>
          <w:b/>
          <w:bCs/>
          <w:w w:val="99"/>
          <w:sz w:val="28"/>
          <w:szCs w:val="26"/>
          <w:lang w:val="vi-VN"/>
        </w:rPr>
      </w:pPr>
      <w:r w:rsidRPr="006B2053">
        <w:rPr>
          <w:rFonts w:ascii="Times New Roman" w:hAnsi="Times New Roman"/>
          <w:b/>
          <w:bCs/>
          <w:sz w:val="28"/>
          <w:szCs w:val="26"/>
        </w:rPr>
        <w:t>BAN</w:t>
      </w:r>
      <w:r w:rsidRPr="006B2053">
        <w:rPr>
          <w:rFonts w:ascii="Times New Roman" w:hAnsi="Times New Roman"/>
          <w:b/>
          <w:bCs/>
          <w:spacing w:val="-3"/>
          <w:sz w:val="28"/>
          <w:szCs w:val="26"/>
        </w:rPr>
        <w:t xml:space="preserve"> </w:t>
      </w:r>
      <w:r w:rsidRPr="006B2053">
        <w:rPr>
          <w:rFonts w:ascii="Times New Roman" w:hAnsi="Times New Roman"/>
          <w:b/>
          <w:bCs/>
          <w:spacing w:val="-5"/>
          <w:sz w:val="28"/>
          <w:szCs w:val="26"/>
        </w:rPr>
        <w:t>G</w:t>
      </w:r>
      <w:r w:rsidRPr="006B2053">
        <w:rPr>
          <w:rFonts w:ascii="Times New Roman" w:hAnsi="Times New Roman"/>
          <w:b/>
          <w:bCs/>
          <w:sz w:val="28"/>
          <w:szCs w:val="26"/>
        </w:rPr>
        <w:t>IÁM</w:t>
      </w:r>
      <w:r w:rsidRPr="006B2053">
        <w:rPr>
          <w:rFonts w:ascii="Times New Roman" w:hAnsi="Times New Roman"/>
          <w:b/>
          <w:bCs/>
          <w:spacing w:val="-5"/>
          <w:sz w:val="28"/>
          <w:szCs w:val="26"/>
        </w:rPr>
        <w:t xml:space="preserve"> </w:t>
      </w:r>
      <w:r w:rsidRPr="006B2053">
        <w:rPr>
          <w:rFonts w:ascii="Times New Roman" w:hAnsi="Times New Roman"/>
          <w:b/>
          <w:bCs/>
          <w:sz w:val="28"/>
          <w:szCs w:val="26"/>
        </w:rPr>
        <w:t>HIỆU</w:t>
      </w:r>
      <w:r w:rsidRPr="006B2053">
        <w:rPr>
          <w:rFonts w:ascii="Times New Roman" w:hAnsi="Times New Roman"/>
          <w:b/>
          <w:bCs/>
          <w:sz w:val="28"/>
          <w:szCs w:val="26"/>
        </w:rPr>
        <w:tab/>
        <w:t>PHÒ</w:t>
      </w:r>
      <w:r w:rsidRPr="006B2053">
        <w:rPr>
          <w:rFonts w:ascii="Times New Roman" w:hAnsi="Times New Roman"/>
          <w:b/>
          <w:bCs/>
          <w:spacing w:val="5"/>
          <w:sz w:val="28"/>
          <w:szCs w:val="26"/>
        </w:rPr>
        <w:t>N</w:t>
      </w:r>
      <w:r w:rsidRPr="006B2053">
        <w:rPr>
          <w:rFonts w:ascii="Times New Roman" w:hAnsi="Times New Roman"/>
          <w:b/>
          <w:bCs/>
          <w:sz w:val="28"/>
          <w:szCs w:val="26"/>
        </w:rPr>
        <w:t>G</w:t>
      </w:r>
      <w:r w:rsidRPr="006B2053">
        <w:rPr>
          <w:rFonts w:ascii="Times New Roman" w:hAnsi="Times New Roman"/>
          <w:b/>
          <w:bCs/>
          <w:spacing w:val="-12"/>
          <w:sz w:val="28"/>
          <w:szCs w:val="26"/>
        </w:rPr>
        <w:t xml:space="preserve"> </w:t>
      </w:r>
      <w:r w:rsidRPr="006B2053">
        <w:rPr>
          <w:rFonts w:ascii="Times New Roman" w:hAnsi="Times New Roman"/>
          <w:b/>
          <w:bCs/>
          <w:sz w:val="28"/>
          <w:szCs w:val="26"/>
        </w:rPr>
        <w:t>ĐÀO</w:t>
      </w:r>
      <w:r w:rsidRPr="006B2053">
        <w:rPr>
          <w:rFonts w:ascii="Times New Roman" w:hAnsi="Times New Roman"/>
          <w:b/>
          <w:bCs/>
          <w:spacing w:val="-4"/>
          <w:sz w:val="28"/>
          <w:szCs w:val="26"/>
        </w:rPr>
        <w:t xml:space="preserve"> </w:t>
      </w:r>
      <w:r w:rsidRPr="006B2053">
        <w:rPr>
          <w:rFonts w:ascii="Times New Roman" w:hAnsi="Times New Roman"/>
          <w:b/>
          <w:bCs/>
          <w:sz w:val="28"/>
          <w:szCs w:val="26"/>
        </w:rPr>
        <w:t>TẠO</w:t>
      </w:r>
      <w:r w:rsidRPr="006B2053">
        <w:rPr>
          <w:rFonts w:ascii="Times New Roman" w:hAnsi="Times New Roman"/>
          <w:b/>
          <w:bCs/>
          <w:sz w:val="28"/>
          <w:szCs w:val="26"/>
        </w:rPr>
        <w:tab/>
        <w:t>KHOA</w:t>
      </w:r>
      <w:r w:rsidRPr="006B2053">
        <w:rPr>
          <w:rFonts w:ascii="Times New Roman" w:hAnsi="Times New Roman"/>
          <w:b/>
          <w:bCs/>
          <w:spacing w:val="-6"/>
          <w:sz w:val="28"/>
          <w:szCs w:val="26"/>
        </w:rPr>
        <w:t xml:space="preserve"> </w:t>
      </w:r>
      <w:r w:rsidRPr="006B2053">
        <w:rPr>
          <w:rFonts w:ascii="Times New Roman" w:hAnsi="Times New Roman"/>
          <w:b/>
          <w:bCs/>
          <w:sz w:val="28"/>
          <w:szCs w:val="26"/>
        </w:rPr>
        <w:t>KẾ</w:t>
      </w:r>
      <w:r w:rsidRPr="006B2053">
        <w:rPr>
          <w:rFonts w:ascii="Times New Roman" w:hAnsi="Times New Roman"/>
          <w:b/>
          <w:bCs/>
          <w:spacing w:val="-2"/>
          <w:sz w:val="28"/>
          <w:szCs w:val="26"/>
        </w:rPr>
        <w:t xml:space="preserve"> </w:t>
      </w:r>
      <w:r w:rsidRPr="006B2053">
        <w:rPr>
          <w:rFonts w:ascii="Times New Roman" w:hAnsi="Times New Roman"/>
          <w:b/>
          <w:bCs/>
          <w:w w:val="99"/>
          <w:sz w:val="28"/>
          <w:szCs w:val="26"/>
        </w:rPr>
        <w:t>TOÁN</w:t>
      </w:r>
    </w:p>
    <w:p w:rsidR="0044368E" w:rsidRPr="0044368E" w:rsidRDefault="0044368E" w:rsidP="009556B5">
      <w:pPr>
        <w:widowControl w:val="0"/>
        <w:tabs>
          <w:tab w:val="left" w:pos="3460"/>
          <w:tab w:val="left" w:pos="5954"/>
        </w:tabs>
        <w:autoSpaceDE w:val="0"/>
        <w:autoSpaceDN w:val="0"/>
        <w:adjustRightInd w:val="0"/>
        <w:spacing w:after="0" w:line="264" w:lineRule="auto"/>
        <w:ind w:left="302" w:right="82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Pr="0040412A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ind w:left="6322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b/>
          <w:bCs/>
          <w:iCs/>
          <w:sz w:val="26"/>
          <w:szCs w:val="26"/>
        </w:rPr>
        <w:t xml:space="preserve">   </w:t>
      </w:r>
      <w:r w:rsidR="006B2053" w:rsidRPr="006B2053">
        <w:rPr>
          <w:rFonts w:ascii="Tahoma" w:hAnsi="Tahoma" w:cs="Tahoma"/>
          <w:b/>
          <w:bCs/>
          <w:iCs/>
          <w:sz w:val="24"/>
          <w:szCs w:val="26"/>
        </w:rPr>
        <w:t>PGS.</w:t>
      </w:r>
      <w:r w:rsidRPr="006B2053">
        <w:rPr>
          <w:rFonts w:ascii="Tahoma" w:hAnsi="Tahoma" w:cs="Tahoma"/>
          <w:b/>
          <w:bCs/>
          <w:iCs/>
          <w:sz w:val="24"/>
          <w:szCs w:val="26"/>
        </w:rPr>
        <w:t>T</w:t>
      </w:r>
      <w:r w:rsidRPr="006B2053">
        <w:rPr>
          <w:rFonts w:ascii="Tahoma" w:hAnsi="Tahoma" w:cs="Tahoma"/>
          <w:b/>
          <w:bCs/>
          <w:iCs/>
          <w:spacing w:val="-1"/>
          <w:sz w:val="24"/>
          <w:szCs w:val="26"/>
        </w:rPr>
        <w:t>S</w:t>
      </w:r>
      <w:r w:rsidRPr="006B2053">
        <w:rPr>
          <w:rFonts w:ascii="Tahoma" w:hAnsi="Tahoma" w:cs="Tahoma"/>
          <w:b/>
          <w:bCs/>
          <w:iCs/>
          <w:sz w:val="24"/>
          <w:szCs w:val="26"/>
        </w:rPr>
        <w:t>.</w:t>
      </w:r>
      <w:r w:rsidRPr="006B2053">
        <w:rPr>
          <w:rFonts w:ascii="Tahoma" w:hAnsi="Tahoma" w:cs="Tahoma"/>
          <w:b/>
          <w:bCs/>
          <w:iCs/>
          <w:spacing w:val="-5"/>
          <w:sz w:val="24"/>
          <w:szCs w:val="26"/>
        </w:rPr>
        <w:t xml:space="preserve"> </w:t>
      </w:r>
      <w:r w:rsidR="007179B0" w:rsidRPr="006B2053">
        <w:rPr>
          <w:rFonts w:ascii="Tahoma" w:hAnsi="Tahoma" w:cs="Tahoma"/>
          <w:b/>
          <w:bCs/>
          <w:iCs/>
          <w:spacing w:val="2"/>
          <w:sz w:val="24"/>
          <w:szCs w:val="26"/>
        </w:rPr>
        <w:t>Phan Thanh Hải</w:t>
      </w:r>
    </w:p>
    <w:p w:rsidR="007B0189" w:rsidRDefault="007B0189" w:rsidP="009556B5">
      <w:pPr>
        <w:spacing w:after="0" w:line="264" w:lineRule="auto"/>
      </w:pPr>
      <w:bookmarkStart w:id="0" w:name="_GoBack"/>
      <w:bookmarkEnd w:id="0"/>
    </w:p>
    <w:sectPr w:rsidR="007B0189" w:rsidSect="00591C03">
      <w:footerReference w:type="default" r:id="rId6"/>
      <w:pgSz w:w="11900" w:h="16840"/>
      <w:pgMar w:top="960" w:right="1020" w:bottom="280" w:left="1300" w:header="0" w:footer="66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49F" w:rsidRDefault="0066049F" w:rsidP="00591C03">
      <w:pPr>
        <w:spacing w:after="0" w:line="240" w:lineRule="auto"/>
      </w:pPr>
      <w:r>
        <w:separator/>
      </w:r>
    </w:p>
  </w:endnote>
  <w:endnote w:type="continuationSeparator" w:id="0">
    <w:p w:rsidR="0066049F" w:rsidRDefault="0066049F" w:rsidP="0059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B3" w:rsidRDefault="006D1E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D1E9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3pt;margin-top:793.15pt;width:10.5pt;height:14.95pt;z-index:-251658752;mso-position-horizontal-relative:page;mso-position-vertical-relative:page" o:allowincell="f" filled="f" stroked="f">
          <v:textbox inset="0,0,0,0">
            <w:txbxContent>
              <w:p w:rsidR="00257BB3" w:rsidRDefault="006D1E97">
                <w:pPr>
                  <w:widowControl w:val="0"/>
                  <w:autoSpaceDE w:val="0"/>
                  <w:autoSpaceDN w:val="0"/>
                  <w:adjustRightInd w:val="0"/>
                  <w:spacing w:after="0" w:line="285" w:lineRule="exact"/>
                  <w:ind w:left="40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begin"/>
                </w:r>
                <w:r w:rsidR="00BB6157">
                  <w:rPr>
                    <w:rFonts w:ascii="Times New Roman" w:hAnsi="Times New Roman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separate"/>
                </w:r>
                <w:r w:rsidR="006B2053">
                  <w:rPr>
                    <w:rFonts w:ascii="Times New Roman" w:hAnsi="Times New Roman"/>
                    <w:noProof/>
                    <w:sz w:val="26"/>
                    <w:szCs w:val="26"/>
                  </w:rPr>
                  <w:t>3</w: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49F" w:rsidRDefault="0066049F" w:rsidP="00591C03">
      <w:pPr>
        <w:spacing w:after="0" w:line="240" w:lineRule="auto"/>
      </w:pPr>
      <w:r>
        <w:separator/>
      </w:r>
    </w:p>
  </w:footnote>
  <w:footnote w:type="continuationSeparator" w:id="0">
    <w:p w:rsidR="0066049F" w:rsidRDefault="0066049F" w:rsidP="00591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368E"/>
    <w:rsid w:val="000436A7"/>
    <w:rsid w:val="000624FE"/>
    <w:rsid w:val="000E7555"/>
    <w:rsid w:val="001A0762"/>
    <w:rsid w:val="00206F7E"/>
    <w:rsid w:val="002A4F63"/>
    <w:rsid w:val="00363F5F"/>
    <w:rsid w:val="0044368E"/>
    <w:rsid w:val="004D01CD"/>
    <w:rsid w:val="00591C03"/>
    <w:rsid w:val="005A74E2"/>
    <w:rsid w:val="0066049F"/>
    <w:rsid w:val="006B2053"/>
    <w:rsid w:val="006D1E97"/>
    <w:rsid w:val="006E391A"/>
    <w:rsid w:val="007139E1"/>
    <w:rsid w:val="007179B0"/>
    <w:rsid w:val="00722810"/>
    <w:rsid w:val="007B0189"/>
    <w:rsid w:val="00822C6B"/>
    <w:rsid w:val="008743CA"/>
    <w:rsid w:val="00875ABC"/>
    <w:rsid w:val="008F14A4"/>
    <w:rsid w:val="009556B5"/>
    <w:rsid w:val="009852AE"/>
    <w:rsid w:val="00A02E51"/>
    <w:rsid w:val="00A15538"/>
    <w:rsid w:val="00A73B8E"/>
    <w:rsid w:val="00B27056"/>
    <w:rsid w:val="00BB6157"/>
    <w:rsid w:val="00C559E5"/>
    <w:rsid w:val="00DB3E27"/>
    <w:rsid w:val="00E856E7"/>
    <w:rsid w:val="00F431D5"/>
    <w:rsid w:val="00F55136"/>
    <w:rsid w:val="00F770C8"/>
    <w:rsid w:val="00FE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SVE14122</dc:creator>
  <cp:lastModifiedBy>SVE14122</cp:lastModifiedBy>
  <cp:revision>17</cp:revision>
  <dcterms:created xsi:type="dcterms:W3CDTF">2015-02-02T02:17:00Z</dcterms:created>
  <dcterms:modified xsi:type="dcterms:W3CDTF">2020-02-17T07:19:00Z</dcterms:modified>
</cp:coreProperties>
</file>