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1139B" w14:textId="46D81650" w:rsidR="00381F94" w:rsidRPr="00027459" w:rsidRDefault="00381F94" w:rsidP="0010682D">
      <w:pPr>
        <w:shd w:val="clear" w:color="auto" w:fill="FFFFFF"/>
        <w:spacing w:after="100" w:afterAutospacing="1" w:line="240" w:lineRule="auto"/>
        <w:jc w:val="both"/>
        <w:outlineLvl w:val="2"/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</w:pPr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Các </w:t>
      </w:r>
      <w:proofErr w:type="spellStart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bút</w:t>
      </w:r>
      <w:proofErr w:type="spellEnd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 </w:t>
      </w:r>
      <w:proofErr w:type="spellStart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toán</w:t>
      </w:r>
      <w:proofErr w:type="spellEnd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 </w:t>
      </w:r>
      <w:proofErr w:type="spellStart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điều</w:t>
      </w:r>
      <w:proofErr w:type="spellEnd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 </w:t>
      </w:r>
      <w:proofErr w:type="spellStart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chỉnh</w:t>
      </w:r>
      <w:proofErr w:type="spellEnd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 </w:t>
      </w:r>
      <w:proofErr w:type="spellStart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sau</w:t>
      </w:r>
      <w:proofErr w:type="spellEnd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 </w:t>
      </w:r>
      <w:proofErr w:type="spellStart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quyết</w:t>
      </w:r>
      <w:proofErr w:type="spellEnd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 </w:t>
      </w:r>
      <w:proofErr w:type="spellStart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toán</w:t>
      </w:r>
      <w:proofErr w:type="spellEnd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 </w:t>
      </w:r>
      <w:proofErr w:type="spellStart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thuế</w:t>
      </w:r>
      <w:proofErr w:type="spellEnd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: </w:t>
      </w:r>
      <w:proofErr w:type="spellStart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Xử</w:t>
      </w:r>
      <w:proofErr w:type="spellEnd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 </w:t>
      </w:r>
      <w:proofErr w:type="spellStart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lý</w:t>
      </w:r>
      <w:proofErr w:type="spellEnd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 </w:t>
      </w:r>
      <w:proofErr w:type="spellStart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truy</w:t>
      </w:r>
      <w:proofErr w:type="spellEnd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 </w:t>
      </w:r>
      <w:proofErr w:type="spellStart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thu</w:t>
      </w:r>
      <w:proofErr w:type="spellEnd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 </w:t>
      </w:r>
      <w:proofErr w:type="spellStart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thuế</w:t>
      </w:r>
      <w:proofErr w:type="spellEnd"/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 </w:t>
      </w:r>
      <w:proofErr w:type="spellStart"/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Giá</w:t>
      </w:r>
      <w:proofErr w:type="spellEnd"/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 </w:t>
      </w:r>
      <w:proofErr w:type="spellStart"/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trị</w:t>
      </w:r>
      <w:proofErr w:type="spellEnd"/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 </w:t>
      </w:r>
      <w:proofErr w:type="spellStart"/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gia</w:t>
      </w:r>
      <w:proofErr w:type="spellEnd"/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 </w:t>
      </w:r>
      <w:proofErr w:type="spellStart"/>
      <w:proofErr w:type="gramStart"/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tăng</w:t>
      </w:r>
      <w:proofErr w:type="spellEnd"/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(</w:t>
      </w:r>
      <w:proofErr w:type="gramEnd"/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GTGT)</w:t>
      </w:r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, T</w:t>
      </w:r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hu </w:t>
      </w:r>
      <w:proofErr w:type="spellStart"/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nhập</w:t>
      </w:r>
      <w:proofErr w:type="spellEnd"/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 </w:t>
      </w:r>
      <w:proofErr w:type="spellStart"/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doanh</w:t>
      </w:r>
      <w:proofErr w:type="spellEnd"/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 </w:t>
      </w:r>
      <w:proofErr w:type="spellStart"/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nghiệp</w:t>
      </w:r>
      <w:proofErr w:type="spellEnd"/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(T</w:t>
      </w:r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NDN, </w:t>
      </w:r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Thu </w:t>
      </w:r>
      <w:proofErr w:type="spellStart"/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nhập</w:t>
      </w:r>
      <w:proofErr w:type="spellEnd"/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 </w:t>
      </w:r>
      <w:proofErr w:type="spellStart"/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cá</w:t>
      </w:r>
      <w:proofErr w:type="spellEnd"/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 xml:space="preserve"> </w:t>
      </w:r>
      <w:proofErr w:type="spellStart"/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nhân</w:t>
      </w:r>
      <w:proofErr w:type="spellEnd"/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(</w:t>
      </w:r>
      <w:r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TNCN</w:t>
      </w:r>
      <w:r w:rsid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)</w:t>
      </w:r>
      <w:r w:rsidR="00027459" w:rsidRPr="00027459">
        <w:rPr>
          <w:rStyle w:val="Strong"/>
          <w:rFonts w:ascii="Times New Roman" w:hAnsi="Times New Roman" w:cs="Times New Roman"/>
          <w:sz w:val="38"/>
          <w:szCs w:val="38"/>
          <w:shd w:val="clear" w:color="auto" w:fill="FFFFFF"/>
        </w:rPr>
        <w:t>.</w:t>
      </w:r>
    </w:p>
    <w:p w14:paraId="4EB3B62D" w14:textId="4B9F9AE7" w:rsidR="00027459" w:rsidRPr="00027459" w:rsidRDefault="00027459" w:rsidP="0010682D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32"/>
          <w:szCs w:val="32"/>
          <w14:ligatures w14:val="none"/>
        </w:rPr>
      </w:pPr>
      <w:r w:rsidRPr="00027459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027459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027459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027459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027459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027459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027459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027459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</w:t>
      </w:r>
      <w:r w:rsidRPr="00027459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>Ngô Thị Kiều Trang</w:t>
      </w:r>
    </w:p>
    <w:p w14:paraId="41344619" w14:textId="32E330A5" w:rsidR="00381F94" w:rsidRPr="00027459" w:rsidRDefault="00381F94" w:rsidP="0010682D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6"/>
          <w:szCs w:val="26"/>
          <w14:ligatures w14:val="none"/>
        </w:rPr>
      </w:pPr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Báo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cáo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quyết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toán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thuế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cần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phải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làm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đối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mỗi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ty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dịp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cuối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năm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Tuy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nhiên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quá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trình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làm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kế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toán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ty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cũng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không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tránh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khỏi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sai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sót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nhầm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lẫn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quá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trình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quyết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toán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thuế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dẫn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đến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cần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phải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thực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chỉnh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số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liệu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sau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khi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quyết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toán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thuế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hoặc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chỉnh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giảm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thuế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gtgt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sau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khi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quyết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toán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Đây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mà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kế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toán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cần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phải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lưu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tâm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thực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quyết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toán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thuế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rõ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ràng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tránh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sai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sót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cũng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như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tránh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xử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phạt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từ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cơ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thuế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nếu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bị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kiểm</w:t>
      </w:r>
      <w:proofErr w:type="spellEnd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27459">
        <w:rPr>
          <w:rFonts w:ascii="Times New Roman" w:hAnsi="Times New Roman" w:cs="Times New Roman"/>
          <w:sz w:val="26"/>
          <w:szCs w:val="26"/>
          <w:shd w:val="clear" w:color="auto" w:fill="FFFFFF"/>
        </w:rPr>
        <w:t>tra</w:t>
      </w:r>
      <w:proofErr w:type="spellEnd"/>
    </w:p>
    <w:p w14:paraId="0E07605B" w14:textId="737DEE84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b/>
          <w:bCs/>
          <w:caps/>
          <w:kern w:val="0"/>
          <w:sz w:val="26"/>
          <w:szCs w:val="26"/>
          <w14:ligatures w14:val="none"/>
        </w:rPr>
        <w:t>I. XỬ LÝ THUẾ GTGT, THUẾ TNDN, THUẾ TNCN SAU QUYẾT TOÁN</w:t>
      </w:r>
    </w:p>
    <w:p w14:paraId="4C0848D1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1.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Điều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chỉnh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GTGT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và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TNDN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sau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quyết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toán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thuế</w:t>
      </w:r>
      <w:proofErr w:type="spellEnd"/>
    </w:p>
    <w:p w14:paraId="74DE57E2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Sau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quyết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toán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nếu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sót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TNDN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phải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hoặc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giảm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begin"/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instrText>HYPERLINK "https://ketoananpha.vn/cach-tinh-thue-gia-tri-gia-tang.html"</w:instrText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separate"/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GTGT</w:t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end"/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khấu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trừ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dẫn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đến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GTGT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phải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thì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văn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kết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quyết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toán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thì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hạch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toán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như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10DE70C4" w14:textId="37F67D88" w:rsidR="0010682D" w:rsidRPr="008313E0" w:rsidRDefault="0010682D" w:rsidP="008313E0">
      <w:pPr>
        <w:pStyle w:val="ListParagraph"/>
        <w:numPr>
          <w:ilvl w:val="0"/>
          <w:numId w:val="2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Nếu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trước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đang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lỗ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(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dư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Nợ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4211):</w:t>
      </w:r>
    </w:p>
    <w:p w14:paraId="4098C5D3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Hạch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toán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811:</w:t>
      </w:r>
    </w:p>
    <w:p w14:paraId="3FEA1974" w14:textId="77777777" w:rsidR="0010682D" w:rsidRPr="00027459" w:rsidRDefault="0010682D" w:rsidP="001068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3334: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TNDN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phải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thêm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;</w:t>
      </w:r>
    </w:p>
    <w:p w14:paraId="12DF3CE7" w14:textId="77777777" w:rsidR="0010682D" w:rsidRPr="00027459" w:rsidRDefault="0010682D" w:rsidP="001068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33311: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GTGT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phải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thêm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 </w:t>
      </w:r>
    </w:p>
    <w:p w14:paraId="19302184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Chi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phí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này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sẽ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không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trừ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quyết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toán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begin"/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instrText>HYPERLINK "https://ketoananpha.vn/cach-tinh-thue-thu-nhap-doanh-nghiep.html"</w:instrText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separate"/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TNDN</w:t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end"/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ghi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lên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chỉ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tiêu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[B4] ‘’Các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khoản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chi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ông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trừ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xác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chịu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’’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tờ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khai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TNDN.</w:t>
      </w:r>
    </w:p>
    <w:p w14:paraId="66829640" w14:textId="529BA0E8" w:rsidR="0010682D" w:rsidRPr="008313E0" w:rsidRDefault="0010682D" w:rsidP="008313E0">
      <w:pPr>
        <w:pStyle w:val="ListParagraph"/>
        <w:numPr>
          <w:ilvl w:val="0"/>
          <w:numId w:val="2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Nếu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trước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đang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lãi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(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dư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4211):</w:t>
      </w:r>
    </w:p>
    <w:p w14:paraId="3ACAF229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Đối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với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doanh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nghiệp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tư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nhân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và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công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ty TNHH 1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thành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viên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:</w:t>
      </w:r>
    </w:p>
    <w:p w14:paraId="16B8F1BA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Hạch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toán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4211:</w:t>
      </w:r>
    </w:p>
    <w:p w14:paraId="501E3673" w14:textId="77777777" w:rsidR="0010682D" w:rsidRPr="00027459" w:rsidRDefault="0010682D" w:rsidP="001068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3334: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TNDN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bị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truy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;</w:t>
      </w:r>
    </w:p>
    <w:p w14:paraId="321BB75D" w14:textId="77777777" w:rsidR="0010682D" w:rsidRPr="00027459" w:rsidRDefault="0010682D" w:rsidP="001068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33311: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GTGT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thêm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quyết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toán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6C563F9A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Đối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với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công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ty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cổ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phần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và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công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ty TNHH 2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thành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viên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trở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lên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:</w:t>
      </w:r>
    </w:p>
    <w:p w14:paraId="43D2E876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 xml:space="preserve">-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Phải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biên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họp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hội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đồng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thành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viên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nếu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thành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viên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chấp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lợi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nhuận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trước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thì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hạch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toán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 </w:t>
      </w:r>
    </w:p>
    <w:p w14:paraId="0D2CD7E7" w14:textId="77777777" w:rsidR="0010682D" w:rsidRPr="00027459" w:rsidRDefault="0010682D" w:rsidP="001068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4211;</w:t>
      </w:r>
    </w:p>
    <w:p w14:paraId="0C637504" w14:textId="77777777" w:rsidR="0010682D" w:rsidRPr="00027459" w:rsidRDefault="0010682D" w:rsidP="001068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33311, TK 3334.</w:t>
      </w:r>
    </w:p>
    <w:p w14:paraId="5E8CC17D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- 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Nếu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thành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viên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không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chấp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lợi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nhuận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trước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mà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để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lợi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nhuận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chia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cổ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tức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thì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xử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lý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58E7CA9A" w14:textId="77777777" w:rsidR="0010682D" w:rsidRPr="00027459" w:rsidRDefault="0010682D" w:rsidP="001068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811;</w:t>
      </w:r>
    </w:p>
    <w:p w14:paraId="4F5448E4" w14:textId="77777777" w:rsidR="0010682D" w:rsidRPr="00027459" w:rsidRDefault="0010682D" w:rsidP="001068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33311, TK 3334.</w:t>
      </w:r>
    </w:p>
    <w:p w14:paraId="6F7D2F96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Trường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hợp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giảm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GTGT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khấu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trừ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không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dẫn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đến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GTGT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phải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thì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hạch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toán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309788C0" w14:textId="77777777" w:rsidR="0010682D" w:rsidRPr="00027459" w:rsidRDefault="0010682D" w:rsidP="001068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4211;</w:t>
      </w:r>
    </w:p>
    <w:p w14:paraId="4065FFF2" w14:textId="77777777" w:rsidR="0010682D" w:rsidRPr="00027459" w:rsidRDefault="0010682D" w:rsidP="001068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1331: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GTGT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khấu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trừ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bị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giảm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2418CAB8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Trường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hợp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GTGT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khấu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trừ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6625CC95" w14:textId="77777777" w:rsidR="0010682D" w:rsidRPr="00027459" w:rsidRDefault="0010682D" w:rsidP="001068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33311: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GTGT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khấu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trừ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;</w:t>
      </w:r>
    </w:p>
    <w:p w14:paraId="532664DE" w14:textId="77777777" w:rsidR="0010682D" w:rsidRPr="00027459" w:rsidRDefault="0010682D" w:rsidP="001068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4211: Lợi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nhuận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do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giảm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chi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phí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02F87257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Trường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hợp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giảm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GTGT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đầu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ra</w:t>
      </w:r>
      <w:proofErr w:type="spellEnd"/>
    </w:p>
    <w:p w14:paraId="10473758" w14:textId="77777777" w:rsidR="0010682D" w:rsidRPr="00027459" w:rsidRDefault="0010682D" w:rsidP="001068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33311: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GTGT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giảm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;</w:t>
      </w:r>
    </w:p>
    <w:p w14:paraId="1722E63E" w14:textId="77777777" w:rsidR="0010682D" w:rsidRPr="00027459" w:rsidRDefault="0010682D" w:rsidP="001068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4211: Lợi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nhuận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chưa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phân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phối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trước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30E796A4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2.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Điều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chỉnh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TNCN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sau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quyết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toán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thuế</w:t>
      </w:r>
      <w:proofErr w:type="spellEnd"/>
    </w:p>
    <w:p w14:paraId="3F8ADB4F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Khi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bị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truy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thêm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tiền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begin"/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instrText>HYPERLINK "https://ketoananpha.vn/lap-to-khai-quyet-toan-thue-tncn.html"</w:instrText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separate"/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 xml:space="preserve"> TNCN</w:t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end"/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thì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xác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khoản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tiền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TNCN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này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sẽ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do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người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lao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hay do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ty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4D0C3559" w14:textId="33B614EF" w:rsidR="0010682D" w:rsidRPr="008313E0" w:rsidRDefault="0010682D" w:rsidP="008313E0">
      <w:pPr>
        <w:pStyle w:val="ListParagraph"/>
        <w:numPr>
          <w:ilvl w:val="0"/>
          <w:numId w:val="2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Nếu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do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nhân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viên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trả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khấu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trừ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lương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kỳ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này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thì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hạch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toán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68677464" w14:textId="77777777" w:rsidR="0010682D" w:rsidRPr="00027459" w:rsidRDefault="0010682D" w:rsidP="001068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334 -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Khấu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trừ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truy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lương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nhân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viên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;</w:t>
      </w:r>
    </w:p>
    <w:p w14:paraId="63E91118" w14:textId="77777777" w:rsidR="0010682D" w:rsidRPr="00027459" w:rsidRDefault="0010682D" w:rsidP="001068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3335: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TNCN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bị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truy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7F41ADB7" w14:textId="7D588516" w:rsidR="0010682D" w:rsidRPr="008313E0" w:rsidRDefault="0010682D" w:rsidP="008313E0">
      <w:pPr>
        <w:pStyle w:val="ListParagraph"/>
        <w:numPr>
          <w:ilvl w:val="0"/>
          <w:numId w:val="2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Nếu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TNCN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bị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truy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sẽ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do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ty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trả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thì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hạch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toán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giống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phần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GTGT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TNDN,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cụ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thể</w:t>
      </w:r>
      <w:proofErr w:type="spellEnd"/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15B24A2E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Nếu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đang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dư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4211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thì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hạch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toán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 </w:t>
      </w:r>
    </w:p>
    <w:p w14:paraId="73D4948F" w14:textId="77777777" w:rsidR="0010682D" w:rsidRPr="00027459" w:rsidRDefault="0010682D" w:rsidP="0010682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811;</w:t>
      </w:r>
    </w:p>
    <w:p w14:paraId="3D542796" w14:textId="77777777" w:rsidR="0010682D" w:rsidRPr="00027459" w:rsidRDefault="0010682D" w:rsidP="0010682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3335.</w:t>
      </w:r>
    </w:p>
    <w:p w14:paraId="607F8639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Nếu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đang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dư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4211 (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lãi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)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ở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ty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cổ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phần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ty TNHH 2 TV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trở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lên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thành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viên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chấp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lợi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nhuận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trước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thì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hạch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toán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174D25A8" w14:textId="77777777" w:rsidR="0010682D" w:rsidRPr="00027459" w:rsidRDefault="0010682D" w:rsidP="0010682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4211;</w:t>
      </w:r>
    </w:p>
    <w:p w14:paraId="05AA558F" w14:textId="77777777" w:rsidR="0010682D" w:rsidRPr="00027459" w:rsidRDefault="0010682D" w:rsidP="0010682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3335.</w:t>
      </w:r>
    </w:p>
    <w:p w14:paraId="72A0F2E9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3.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Hạch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toán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nộp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vào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ngân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sách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nhà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nước</w:t>
      </w:r>
      <w:proofErr w:type="spellEnd"/>
    </w:p>
    <w:p w14:paraId="2393DC0B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Khi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loại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ngân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sách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nhà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bạn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hạch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toán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7A6D4E29" w14:textId="77777777" w:rsidR="0010682D" w:rsidRPr="00027459" w:rsidRDefault="0010682D" w:rsidP="0010682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33311: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GTGT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bị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truy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;</w:t>
      </w:r>
    </w:p>
    <w:p w14:paraId="4E5C75A0" w14:textId="77777777" w:rsidR="0010682D" w:rsidRPr="00027459" w:rsidRDefault="0010682D" w:rsidP="0010682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3334: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TNDN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phải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thêm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;</w:t>
      </w:r>
    </w:p>
    <w:p w14:paraId="4C196958" w14:textId="77777777" w:rsidR="0010682D" w:rsidRPr="00027459" w:rsidRDefault="0010682D" w:rsidP="0010682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3335: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TNCN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bị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truy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;</w:t>
      </w:r>
    </w:p>
    <w:p w14:paraId="05EB363B" w14:textId="77777777" w:rsidR="0010682D" w:rsidRPr="00027459" w:rsidRDefault="0010682D" w:rsidP="0010682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1111/112: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tiền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GTGT,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TNDN,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TNCN.</w:t>
      </w:r>
    </w:p>
    <w:p w14:paraId="2B8C2012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Khi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giảm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GTGT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khấu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trừ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thì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ngoài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hạch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toán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trên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sổ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sách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phải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điều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chỉnh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kê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khai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bổ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sung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giảm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VAT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khấu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trừ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chỉ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tiêu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37 - ‘'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điều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chỉnh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tăng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’’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tờ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khai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GTGT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kết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thanh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tra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kiểm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tra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39B71394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Ví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dụ</w:t>
      </w:r>
      <w:proofErr w:type="spellEnd"/>
      <w:r w:rsidRPr="00027459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1</w:t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 </w:t>
      </w:r>
    </w:p>
    <w:p w14:paraId="3F76E1B8" w14:textId="78A6231C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Công ty A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ty TNHH 2 TV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biên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kiểm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tra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</w:t>
      </w:r>
      <w:r w:rsidR="00027459"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0</w:t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.05.2022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kết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truy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202</w:t>
      </w:r>
      <w:r w:rsidR="00027459"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1</w:t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như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4EBE1839" w14:textId="79F57D50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Truy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: </w:t>
      </w:r>
      <w:r w:rsidR="00027459"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8</w:t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0.000.000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đồng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6DB42E60" w14:textId="69B5BC8D" w:rsidR="0010682D" w:rsidRPr="00027459" w:rsidRDefault="0010682D" w:rsidP="0010682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GTGT: </w:t>
      </w:r>
      <w:r w:rsidR="00027459"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3</w:t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0.000.000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đồng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;</w:t>
      </w:r>
    </w:p>
    <w:p w14:paraId="346419C1" w14:textId="77777777" w:rsidR="0010682D" w:rsidRPr="00027459" w:rsidRDefault="0010682D" w:rsidP="0010682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TNDN: 50.000.000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đồng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7F3CC4C5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Công ty A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lỗ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trước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150.000.000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đồng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(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Số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dư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bên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4211).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Hạch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toán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khoản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truy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như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nào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?</w:t>
      </w:r>
    </w:p>
    <w:p w14:paraId="5955BA97" w14:textId="7680BA7C" w:rsidR="0010682D" w:rsidRPr="00027459" w:rsidRDefault="00027459" w:rsidP="0010682D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i/>
          <w:iCs/>
          <w:kern w:val="0"/>
          <w:sz w:val="26"/>
          <w:szCs w:val="26"/>
          <w:u w:val="single"/>
          <w14:ligatures w14:val="none"/>
        </w:rPr>
      </w:pPr>
      <w:proofErr w:type="spellStart"/>
      <w:r w:rsidRPr="00027459">
        <w:rPr>
          <w:rFonts w:ascii="Segoe UI Symbol" w:eastAsia="Times New Roman" w:hAnsi="Segoe UI Symbol" w:cs="Segoe UI Symbol"/>
          <w:i/>
          <w:iCs/>
          <w:kern w:val="0"/>
          <w:sz w:val="26"/>
          <w:szCs w:val="26"/>
          <w:u w:val="single"/>
          <w14:ligatures w14:val="none"/>
        </w:rPr>
        <w:t>Gi</w:t>
      </w:r>
      <w:r w:rsidRPr="00027459">
        <w:rPr>
          <w:rFonts w:ascii="Calibri" w:eastAsia="Times New Roman" w:hAnsi="Calibri" w:cs="Calibri"/>
          <w:i/>
          <w:iCs/>
          <w:kern w:val="0"/>
          <w:sz w:val="26"/>
          <w:szCs w:val="26"/>
          <w:u w:val="single"/>
          <w14:ligatures w14:val="none"/>
        </w:rPr>
        <w:t>ải</w:t>
      </w:r>
      <w:proofErr w:type="spellEnd"/>
      <w:r w:rsidRPr="00027459">
        <w:rPr>
          <w:rFonts w:ascii="Calibri" w:eastAsia="Times New Roman" w:hAnsi="Calibri" w:cs="Calibri"/>
          <w:i/>
          <w:iCs/>
          <w:kern w:val="0"/>
          <w:sz w:val="26"/>
          <w:szCs w:val="26"/>
          <w:u w:val="single"/>
          <w14:ligatures w14:val="none"/>
        </w:rPr>
        <w:t xml:space="preserve"> </w:t>
      </w:r>
      <w:proofErr w:type="spellStart"/>
      <w:r w:rsidRPr="00027459">
        <w:rPr>
          <w:rFonts w:ascii="Calibri" w:eastAsia="Times New Roman" w:hAnsi="Calibri" w:cs="Calibri"/>
          <w:i/>
          <w:iCs/>
          <w:kern w:val="0"/>
          <w:sz w:val="26"/>
          <w:szCs w:val="26"/>
          <w:u w:val="single"/>
          <w14:ligatures w14:val="none"/>
        </w:rPr>
        <w:t>đáp</w:t>
      </w:r>
      <w:proofErr w:type="spellEnd"/>
      <w:r w:rsidRPr="00027459">
        <w:rPr>
          <w:rFonts w:ascii="Calibri" w:eastAsia="Times New Roman" w:hAnsi="Calibri" w:cs="Calibri"/>
          <w:i/>
          <w:iCs/>
          <w:kern w:val="0"/>
          <w:sz w:val="26"/>
          <w:szCs w:val="26"/>
          <w:u w:val="single"/>
          <w14:ligatures w14:val="none"/>
        </w:rPr>
        <w:t>:</w:t>
      </w:r>
    </w:p>
    <w:p w14:paraId="48E42AF7" w14:textId="3950D47C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</w:t>
      </w:r>
      <w:r w:rsidR="00027459"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0</w:t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.05.2022,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khi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biên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kiểm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tra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cơ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ty A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hạch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toán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như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74512616" w14:textId="731D0BD9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811: </w:t>
      </w:r>
      <w:r w:rsidR="00027459"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8</w:t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0.000.000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đồng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;</w:t>
      </w:r>
    </w:p>
    <w:p w14:paraId="682F0A75" w14:textId="455BD258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33311: </w:t>
      </w:r>
      <w:r w:rsidR="00027459"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3</w:t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0.000.000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đồng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;</w:t>
      </w:r>
    </w:p>
    <w:p w14:paraId="6FB11D11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3334: 50.000.000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đồng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78B50AF6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 xml:space="preserve">Khi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tiền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ngân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sách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nhà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54726DE3" w14:textId="77777777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3334: 50.000.000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đồng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;</w:t>
      </w:r>
    </w:p>
    <w:p w14:paraId="44EE744F" w14:textId="3C0AF58A" w:rsidR="0010682D" w:rsidRPr="00027459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Nợ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33311: </w:t>
      </w:r>
      <w:r w:rsidR="00027459"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3</w:t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00.000.000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đồng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;</w:t>
      </w:r>
    </w:p>
    <w:p w14:paraId="0AF0C22F" w14:textId="74E02168" w:rsidR="0010682D" w:rsidRDefault="0010682D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TK 1111/1121: </w:t>
      </w:r>
      <w:r w:rsidR="00027459"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8</w:t>
      </w:r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0.000.000 </w:t>
      </w:r>
      <w:proofErr w:type="spellStart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đồng</w:t>
      </w:r>
      <w:proofErr w:type="spellEnd"/>
      <w:r w:rsidRPr="0002745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096A61F3" w14:textId="77777777" w:rsidR="008313E0" w:rsidRDefault="008313E0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CBF5DB1" w14:textId="763694F2" w:rsidR="00027459" w:rsidRPr="008313E0" w:rsidRDefault="00027459" w:rsidP="008313E0">
      <w:pPr>
        <w:shd w:val="clear" w:color="auto" w:fill="FFFFFF"/>
        <w:spacing w:after="100" w:afterAutospacing="1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6"/>
          <w:szCs w:val="26"/>
          <w:lang w:val="vi-VN"/>
          <w14:ligatures w14:val="none"/>
        </w:rPr>
      </w:pP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V</w:t>
      </w:r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iệc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chỉnh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313E0" w:rsidRPr="008313E0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 xml:space="preserve">Các </w:t>
      </w:r>
      <w:proofErr w:type="spellStart"/>
      <w:r w:rsidR="008313E0" w:rsidRPr="008313E0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bút</w:t>
      </w:r>
      <w:proofErr w:type="spellEnd"/>
      <w:r w:rsidR="008313E0" w:rsidRPr="008313E0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313E0" w:rsidRPr="008313E0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toán</w:t>
      </w:r>
      <w:proofErr w:type="spellEnd"/>
      <w:r w:rsidR="008313E0"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sau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khi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quyết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toán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thuế</w:t>
      </w:r>
      <w:proofErr w:type="spellEnd"/>
      <w:r w:rsidR="008313E0"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Đây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mà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kế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toán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cần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phải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lưu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tâm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thực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quyết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toán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thuế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rõ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ràng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tránh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sai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sót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cũng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như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tránh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xử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phạt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từ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cơ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thuế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nếu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bị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kiểm</w:t>
      </w:r>
      <w:proofErr w:type="spellEnd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tra</w:t>
      </w:r>
      <w:proofErr w:type="spellEnd"/>
      <w:r w:rsidR="008313E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19DC2223" w14:textId="77777777" w:rsidR="008313E0" w:rsidRDefault="008313E0" w:rsidP="008313E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</w:p>
    <w:p w14:paraId="31D02D95" w14:textId="45E5BEF9" w:rsidR="00027459" w:rsidRPr="008313E0" w:rsidRDefault="008313E0" w:rsidP="008313E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8313E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TÀI LIỆU THAM KHẢO</w:t>
      </w:r>
    </w:p>
    <w:p w14:paraId="231C4A55" w14:textId="77777777" w:rsidR="008313E0" w:rsidRDefault="008313E0" w:rsidP="0010682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C00FB8F" w14:textId="26A671E8" w:rsidR="00027459" w:rsidRPr="008313E0" w:rsidRDefault="008313E0" w:rsidP="008313E0">
      <w:pPr>
        <w:pStyle w:val="ListParagraph"/>
        <w:numPr>
          <w:ilvl w:val="1"/>
          <w:numId w:val="9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8313E0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https://www.gdt.gov.vn/wps/portal</w:t>
      </w:r>
    </w:p>
    <w:sectPr w:rsidR="00027459" w:rsidRPr="008313E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95D28" w14:textId="77777777" w:rsidR="004C2FF1" w:rsidRDefault="004C2FF1" w:rsidP="00381F94">
      <w:pPr>
        <w:spacing w:after="0" w:line="240" w:lineRule="auto"/>
      </w:pPr>
      <w:r>
        <w:separator/>
      </w:r>
    </w:p>
  </w:endnote>
  <w:endnote w:type="continuationSeparator" w:id="0">
    <w:p w14:paraId="37A5CCAA" w14:textId="77777777" w:rsidR="004C2FF1" w:rsidRDefault="004C2FF1" w:rsidP="0038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2016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E6309" w14:textId="433B8BF0" w:rsidR="00381F94" w:rsidRDefault="00381F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613FB0" w14:textId="77777777" w:rsidR="00381F94" w:rsidRDefault="00381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1219" w14:textId="77777777" w:rsidR="004C2FF1" w:rsidRDefault="004C2FF1" w:rsidP="00381F94">
      <w:pPr>
        <w:spacing w:after="0" w:line="240" w:lineRule="auto"/>
      </w:pPr>
      <w:r>
        <w:separator/>
      </w:r>
    </w:p>
  </w:footnote>
  <w:footnote w:type="continuationSeparator" w:id="0">
    <w:p w14:paraId="0113D309" w14:textId="77777777" w:rsidR="004C2FF1" w:rsidRDefault="004C2FF1" w:rsidP="00381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4F2"/>
    <w:multiLevelType w:val="multilevel"/>
    <w:tmpl w:val="3BE4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518A4"/>
    <w:multiLevelType w:val="multilevel"/>
    <w:tmpl w:val="105C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62696"/>
    <w:multiLevelType w:val="multilevel"/>
    <w:tmpl w:val="30B8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423CA"/>
    <w:multiLevelType w:val="multilevel"/>
    <w:tmpl w:val="47DC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65679"/>
    <w:multiLevelType w:val="multilevel"/>
    <w:tmpl w:val="3DFC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D34AB"/>
    <w:multiLevelType w:val="multilevel"/>
    <w:tmpl w:val="96AE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50761"/>
    <w:multiLevelType w:val="multilevel"/>
    <w:tmpl w:val="9A0E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529AD"/>
    <w:multiLevelType w:val="multilevel"/>
    <w:tmpl w:val="FD1A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07FB3"/>
    <w:multiLevelType w:val="multilevel"/>
    <w:tmpl w:val="70E8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AE125C"/>
    <w:multiLevelType w:val="multilevel"/>
    <w:tmpl w:val="1676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481874"/>
    <w:multiLevelType w:val="multilevel"/>
    <w:tmpl w:val="9EB8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35EBB"/>
    <w:multiLevelType w:val="multilevel"/>
    <w:tmpl w:val="F594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9F08DB"/>
    <w:multiLevelType w:val="multilevel"/>
    <w:tmpl w:val="CA3A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5A6756"/>
    <w:multiLevelType w:val="hybridMultilevel"/>
    <w:tmpl w:val="C28E53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538E0"/>
    <w:multiLevelType w:val="multilevel"/>
    <w:tmpl w:val="305C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B4F29"/>
    <w:multiLevelType w:val="multilevel"/>
    <w:tmpl w:val="1B5E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61248C"/>
    <w:multiLevelType w:val="multilevel"/>
    <w:tmpl w:val="891A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BD6FB0"/>
    <w:multiLevelType w:val="multilevel"/>
    <w:tmpl w:val="15A8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B75C5B"/>
    <w:multiLevelType w:val="multilevel"/>
    <w:tmpl w:val="B810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392425"/>
    <w:multiLevelType w:val="multilevel"/>
    <w:tmpl w:val="B160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80755D"/>
    <w:multiLevelType w:val="multilevel"/>
    <w:tmpl w:val="7FB0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641A81"/>
    <w:multiLevelType w:val="multilevel"/>
    <w:tmpl w:val="F08C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685667">
    <w:abstractNumId w:val="18"/>
  </w:num>
  <w:num w:numId="2" w16cid:durableId="1991326308">
    <w:abstractNumId w:val="20"/>
  </w:num>
  <w:num w:numId="3" w16cid:durableId="1442383753">
    <w:abstractNumId w:val="0"/>
  </w:num>
  <w:num w:numId="4" w16cid:durableId="1087001843">
    <w:abstractNumId w:val="1"/>
  </w:num>
  <w:num w:numId="5" w16cid:durableId="843016787">
    <w:abstractNumId w:val="14"/>
  </w:num>
  <w:num w:numId="6" w16cid:durableId="1157770913">
    <w:abstractNumId w:val="9"/>
  </w:num>
  <w:num w:numId="7" w16cid:durableId="2143501064">
    <w:abstractNumId w:val="12"/>
  </w:num>
  <w:num w:numId="8" w16cid:durableId="1471943453">
    <w:abstractNumId w:val="6"/>
  </w:num>
  <w:num w:numId="9" w16cid:durableId="1983657687">
    <w:abstractNumId w:val="2"/>
  </w:num>
  <w:num w:numId="10" w16cid:durableId="323045191">
    <w:abstractNumId w:val="7"/>
  </w:num>
  <w:num w:numId="11" w16cid:durableId="523713320">
    <w:abstractNumId w:val="8"/>
  </w:num>
  <w:num w:numId="12" w16cid:durableId="492840561">
    <w:abstractNumId w:val="17"/>
  </w:num>
  <w:num w:numId="13" w16cid:durableId="1942569170">
    <w:abstractNumId w:val="21"/>
  </w:num>
  <w:num w:numId="14" w16cid:durableId="129710805">
    <w:abstractNumId w:val="5"/>
  </w:num>
  <w:num w:numId="15" w16cid:durableId="1307971819">
    <w:abstractNumId w:val="19"/>
  </w:num>
  <w:num w:numId="16" w16cid:durableId="838623185">
    <w:abstractNumId w:val="10"/>
  </w:num>
  <w:num w:numId="17" w16cid:durableId="309137662">
    <w:abstractNumId w:val="4"/>
  </w:num>
  <w:num w:numId="18" w16cid:durableId="439496180">
    <w:abstractNumId w:val="16"/>
  </w:num>
  <w:num w:numId="19" w16cid:durableId="727994882">
    <w:abstractNumId w:val="15"/>
  </w:num>
  <w:num w:numId="20" w16cid:durableId="1597134071">
    <w:abstractNumId w:val="3"/>
  </w:num>
  <w:num w:numId="21" w16cid:durableId="1170414271">
    <w:abstractNumId w:val="11"/>
  </w:num>
  <w:num w:numId="22" w16cid:durableId="1772818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2D"/>
    <w:rsid w:val="00027459"/>
    <w:rsid w:val="0010682D"/>
    <w:rsid w:val="00135046"/>
    <w:rsid w:val="00381F94"/>
    <w:rsid w:val="004C2FF1"/>
    <w:rsid w:val="00662CBB"/>
    <w:rsid w:val="00725721"/>
    <w:rsid w:val="008313E0"/>
    <w:rsid w:val="00D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B8175"/>
  <w15:chartTrackingRefBased/>
  <w15:docId w15:val="{8D45DCCC-DBDE-43D2-B05E-A7154896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68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10682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0682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10682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1068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068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1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F94"/>
  </w:style>
  <w:style w:type="paragraph" w:styleId="Footer">
    <w:name w:val="footer"/>
    <w:basedOn w:val="Normal"/>
    <w:link w:val="FooterChar"/>
    <w:uiPriority w:val="99"/>
    <w:unhideWhenUsed/>
    <w:rsid w:val="00381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F94"/>
  </w:style>
  <w:style w:type="paragraph" w:styleId="ListParagraph">
    <w:name w:val="List Paragraph"/>
    <w:basedOn w:val="Normal"/>
    <w:uiPriority w:val="34"/>
    <w:qFormat/>
    <w:rsid w:val="00831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4</cp:revision>
  <dcterms:created xsi:type="dcterms:W3CDTF">2023-09-07T01:40:00Z</dcterms:created>
  <dcterms:modified xsi:type="dcterms:W3CDTF">2023-09-13T07:40:00Z</dcterms:modified>
</cp:coreProperties>
</file>