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BB62E" w14:textId="7C271459" w:rsidR="00012F2A" w:rsidRPr="00D21969" w:rsidRDefault="006454FD" w:rsidP="00B560E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1969">
        <w:rPr>
          <w:rFonts w:ascii="Times New Roman" w:hAnsi="Times New Roman" w:cs="Times New Roman"/>
          <w:b/>
          <w:bCs/>
          <w:sz w:val="26"/>
          <w:szCs w:val="26"/>
        </w:rPr>
        <w:t>NÂNG CAO HIỆU QUẢ SỬ DỤNG VỐN TRONG DOANH NGHIỆP</w:t>
      </w:r>
    </w:p>
    <w:p w14:paraId="02448DE0" w14:textId="3B8AD821" w:rsidR="006454FD" w:rsidRPr="00D21969" w:rsidRDefault="006454FD" w:rsidP="00B560E9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D21969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Đinh</w:t>
      </w:r>
      <w:proofErr w:type="spellEnd"/>
      <w:r w:rsidRPr="00D2196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D21969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Thị</w:t>
      </w:r>
      <w:proofErr w:type="spellEnd"/>
      <w:r w:rsidRPr="00D2196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Thu </w:t>
      </w:r>
      <w:proofErr w:type="spellStart"/>
      <w:r w:rsidRPr="00D21969">
        <w:rPr>
          <w:rFonts w:ascii="Times New Roman" w:hAnsi="Times New Roman" w:cs="Times New Roman"/>
          <w:b/>
          <w:bCs/>
          <w:i/>
          <w:iCs/>
          <w:sz w:val="26"/>
          <w:szCs w:val="26"/>
        </w:rPr>
        <w:t>Hiền</w:t>
      </w:r>
      <w:proofErr w:type="spellEnd"/>
    </w:p>
    <w:p w14:paraId="58922D6C" w14:textId="7AE5745A" w:rsidR="006454FD" w:rsidRDefault="006454FD" w:rsidP="00B560E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7959C36" w14:textId="77777777" w:rsidR="00D21969" w:rsidRDefault="006454FD" w:rsidP="00B560E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dồi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luân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kiêm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tùy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D219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1969">
        <w:rPr>
          <w:rFonts w:ascii="Times New Roman" w:hAnsi="Times New Roman" w:cs="Times New Roman"/>
          <w:sz w:val="26"/>
          <w:szCs w:val="26"/>
        </w:rPr>
        <w:t>vốn</w:t>
      </w:r>
      <w:proofErr w:type="spellEnd"/>
    </w:p>
    <w:p w14:paraId="4FADA505" w14:textId="619671C5" w:rsidR="006454FD" w:rsidRDefault="00D21969" w:rsidP="00B560E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978E92" w14:textId="3EE7E464" w:rsidR="00D21969" w:rsidRDefault="007A2B10" w:rsidP="00B560E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Khi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nhằm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1319BEE" w14:textId="6A7C32F5" w:rsidR="007A2B10" w:rsidRDefault="007A2B10" w:rsidP="00B560E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A2B10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trải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sắm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B10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7A2B1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hinh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. Do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0E37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DA0E37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6D76173F" w14:textId="1DEF83A3" w:rsidR="00A20F0B" w:rsidRDefault="00DA0E37" w:rsidP="00B560E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Tùy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0F0B"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0F0B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A20F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0F0B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A20F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0F0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A20F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0F0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A20F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0F0B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A20F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0F0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A20F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0F0B">
        <w:rPr>
          <w:rFonts w:ascii="Times New Roman" w:hAnsi="Times New Roman" w:cs="Times New Roman"/>
          <w:sz w:val="26"/>
          <w:szCs w:val="26"/>
        </w:rPr>
        <w:t>sau</w:t>
      </w:r>
      <w:proofErr w:type="spellEnd"/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1292"/>
        <w:gridCol w:w="493"/>
        <w:gridCol w:w="1220"/>
      </w:tblGrid>
      <w:tr w:rsidR="00A20F0B" w14:paraId="33F6248F" w14:textId="77777777" w:rsidTr="00A20F0B">
        <w:trPr>
          <w:jc w:val="center"/>
        </w:trPr>
        <w:tc>
          <w:tcPr>
            <w:tcW w:w="1292" w:type="dxa"/>
            <w:vMerge w:val="restart"/>
            <w:vAlign w:val="center"/>
          </w:tcPr>
          <w:p w14:paraId="7C454AC2" w14:textId="5E622E1A" w:rsidR="00A20F0B" w:rsidRDefault="00A20F0B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493" w:type="dxa"/>
            <w:vMerge w:val="restart"/>
            <w:vAlign w:val="center"/>
          </w:tcPr>
          <w:p w14:paraId="09520192" w14:textId="778F7907" w:rsidR="00A20F0B" w:rsidRDefault="00A20F0B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1220" w:type="dxa"/>
          </w:tcPr>
          <w:p w14:paraId="2A12F2B7" w14:textId="66A7C7B3" w:rsidR="00A20F0B" w:rsidRDefault="00A20F0B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ra</w:t>
            </w:r>
          </w:p>
        </w:tc>
      </w:tr>
      <w:tr w:rsidR="00A20F0B" w14:paraId="6C5EAAB5" w14:textId="77777777" w:rsidTr="00A20F0B">
        <w:trPr>
          <w:jc w:val="center"/>
        </w:trPr>
        <w:tc>
          <w:tcPr>
            <w:tcW w:w="1292" w:type="dxa"/>
            <w:vMerge/>
          </w:tcPr>
          <w:p w14:paraId="04E53FC5" w14:textId="77777777" w:rsidR="00A20F0B" w:rsidRDefault="00A20F0B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dxa"/>
            <w:vMerge/>
          </w:tcPr>
          <w:p w14:paraId="69CC166C" w14:textId="77777777" w:rsidR="00A20F0B" w:rsidRDefault="00A20F0B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0" w:type="dxa"/>
          </w:tcPr>
          <w:p w14:paraId="55850D5E" w14:textId="44EF2976" w:rsidR="00A20F0B" w:rsidRDefault="00A20F0B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</w:p>
        </w:tc>
      </w:tr>
    </w:tbl>
    <w:p w14:paraId="0899C269" w14:textId="451C54EF" w:rsidR="00A20F0B" w:rsidRDefault="00A20F0B" w:rsidP="00B560E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AF3413E" w14:textId="178F9545" w:rsidR="00A20F0B" w:rsidRPr="00E40CBA" w:rsidRDefault="00A20F0B" w:rsidP="00B560E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40CBA">
        <w:rPr>
          <w:rFonts w:ascii="Times New Roman" w:hAnsi="Times New Roman" w:cs="Times New Roman"/>
          <w:b/>
          <w:bCs/>
          <w:sz w:val="26"/>
          <w:szCs w:val="26"/>
        </w:rPr>
        <w:lastRenderedPageBreak/>
        <w:t>Các</w:t>
      </w:r>
      <w:proofErr w:type="spellEnd"/>
      <w:r w:rsidRPr="00E40C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40CBA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E40CBA">
        <w:rPr>
          <w:rFonts w:ascii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Pr="00E40CBA">
        <w:rPr>
          <w:rFonts w:ascii="Times New Roman" w:hAnsi="Times New Roman" w:cs="Times New Roman"/>
          <w:b/>
          <w:bCs/>
          <w:sz w:val="26"/>
          <w:szCs w:val="26"/>
        </w:rPr>
        <w:t>phân</w:t>
      </w:r>
      <w:proofErr w:type="spellEnd"/>
      <w:r w:rsidRPr="00E40C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40CBA">
        <w:rPr>
          <w:rFonts w:ascii="Times New Roman" w:hAnsi="Times New Roman" w:cs="Times New Roman"/>
          <w:b/>
          <w:bCs/>
          <w:sz w:val="26"/>
          <w:szCs w:val="26"/>
        </w:rPr>
        <w:t>tích</w:t>
      </w:r>
      <w:proofErr w:type="spellEnd"/>
      <w:r w:rsidRPr="00E40C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40CBA">
        <w:rPr>
          <w:rFonts w:ascii="Times New Roman" w:hAnsi="Times New Roman" w:cs="Times New Roman"/>
          <w:b/>
          <w:bCs/>
          <w:sz w:val="26"/>
          <w:szCs w:val="26"/>
        </w:rPr>
        <w:t>hiệu</w:t>
      </w:r>
      <w:proofErr w:type="spellEnd"/>
      <w:r w:rsidRPr="00E40C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40CBA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  <w:r w:rsidRPr="00E40C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40CBA">
        <w:rPr>
          <w:rFonts w:ascii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E40C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40CBA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E40C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40CBA">
        <w:rPr>
          <w:rFonts w:ascii="Times New Roman" w:hAnsi="Times New Roman" w:cs="Times New Roman"/>
          <w:b/>
          <w:bCs/>
          <w:sz w:val="26"/>
          <w:szCs w:val="26"/>
        </w:rPr>
        <w:t>vốn</w:t>
      </w:r>
      <w:proofErr w:type="spellEnd"/>
    </w:p>
    <w:p w14:paraId="7A5E3F78" w14:textId="2C30E35D" w:rsidR="00A20F0B" w:rsidRPr="00706AF9" w:rsidRDefault="00706AF9" w:rsidP="00B560E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E40CBA"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>Hiệu</w:t>
      </w:r>
      <w:proofErr w:type="spellEnd"/>
      <w:r w:rsidR="00E40CBA"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E40CBA"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>quả</w:t>
      </w:r>
      <w:proofErr w:type="spellEnd"/>
      <w:r w:rsidR="00E40CBA"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E40CBA"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>từ</w:t>
      </w:r>
      <w:proofErr w:type="spellEnd"/>
      <w:r w:rsidR="00E40CBA"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sử</w:t>
      </w:r>
      <w:proofErr w:type="spellEnd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>dụng</w:t>
      </w:r>
      <w:proofErr w:type="spellEnd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>vốn</w:t>
      </w:r>
      <w:proofErr w:type="spellEnd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>cố</w:t>
      </w:r>
      <w:proofErr w:type="spellEnd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định</w:t>
      </w:r>
      <w:proofErr w:type="spellEnd"/>
    </w:p>
    <w:p w14:paraId="4394330D" w14:textId="3EB4F3C1" w:rsidR="00706AF9" w:rsidRDefault="00F30BE8" w:rsidP="00B560E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thỏa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30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xưởng</w:t>
      </w:r>
      <w:proofErr w:type="spellEnd"/>
      <w:r>
        <w:rPr>
          <w:rFonts w:ascii="Times New Roman" w:hAnsi="Times New Roman" w:cs="Times New Roman"/>
          <w:sz w:val="26"/>
          <w:szCs w:val="26"/>
        </w:rPr>
        <w:t>,..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hữu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%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Do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hữu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3EF7FA4C" w14:textId="5C8E33DF" w:rsidR="00F30BE8" w:rsidRDefault="00F30BE8" w:rsidP="00B560E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3270"/>
        <w:gridCol w:w="493"/>
        <w:gridCol w:w="4073"/>
      </w:tblGrid>
      <w:tr w:rsidR="00F30BE8" w14:paraId="0C4ECDCF" w14:textId="77777777" w:rsidTr="00F30BE8">
        <w:trPr>
          <w:trHeight w:val="441"/>
          <w:jc w:val="center"/>
        </w:trPr>
        <w:tc>
          <w:tcPr>
            <w:tcW w:w="3270" w:type="dxa"/>
            <w:vMerge w:val="restart"/>
            <w:vAlign w:val="center"/>
          </w:tcPr>
          <w:p w14:paraId="25E13178" w14:textId="6FEB3622" w:rsidR="00F30BE8" w:rsidRDefault="00F30BE8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VCĐ</w:t>
            </w:r>
          </w:p>
        </w:tc>
        <w:tc>
          <w:tcPr>
            <w:tcW w:w="493" w:type="dxa"/>
            <w:vMerge w:val="restart"/>
            <w:vAlign w:val="center"/>
          </w:tcPr>
          <w:p w14:paraId="4B337CE5" w14:textId="77777777" w:rsidR="00F30BE8" w:rsidRDefault="00F30BE8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4073" w:type="dxa"/>
          </w:tcPr>
          <w:p w14:paraId="114B2ECB" w14:textId="5CA08015" w:rsidR="00F30BE8" w:rsidRDefault="00F30BE8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Vốn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30BE8" w14:paraId="6FE707B3" w14:textId="77777777" w:rsidTr="00F30BE8">
        <w:trPr>
          <w:trHeight w:val="93"/>
          <w:jc w:val="center"/>
        </w:trPr>
        <w:tc>
          <w:tcPr>
            <w:tcW w:w="3270" w:type="dxa"/>
            <w:vMerge/>
          </w:tcPr>
          <w:p w14:paraId="463A2A2F" w14:textId="77777777" w:rsidR="00F30BE8" w:rsidRDefault="00F30BE8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dxa"/>
            <w:vMerge/>
          </w:tcPr>
          <w:p w14:paraId="40711874" w14:textId="77777777" w:rsidR="00F30BE8" w:rsidRDefault="00F30BE8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3" w:type="dxa"/>
          </w:tcPr>
          <w:p w14:paraId="4DC3E9A4" w14:textId="2BDD353B" w:rsidR="00F30BE8" w:rsidRDefault="00F30BE8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</w:p>
        </w:tc>
      </w:tr>
    </w:tbl>
    <w:p w14:paraId="7636774A" w14:textId="58241F6A" w:rsidR="00F30BE8" w:rsidRDefault="00F30BE8" w:rsidP="00B560E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 1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Hàm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VCĐ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nâng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nhằm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CD5FEF8" w14:textId="10377DDC" w:rsidR="00F30BE8" w:rsidRDefault="00F30BE8" w:rsidP="00B560E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TSCĐ</w:t>
      </w:r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1292"/>
        <w:gridCol w:w="493"/>
        <w:gridCol w:w="4510"/>
      </w:tblGrid>
      <w:tr w:rsidR="0020604C" w14:paraId="73ECECC3" w14:textId="77777777" w:rsidTr="0020604C">
        <w:trPr>
          <w:jc w:val="center"/>
        </w:trPr>
        <w:tc>
          <w:tcPr>
            <w:tcW w:w="1292" w:type="dxa"/>
            <w:vMerge w:val="restart"/>
            <w:vAlign w:val="center"/>
          </w:tcPr>
          <w:p w14:paraId="3B1FBA00" w14:textId="2D41646B" w:rsidR="0020604C" w:rsidRDefault="0020604C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mòn</w:t>
            </w:r>
            <w:proofErr w:type="spellEnd"/>
          </w:p>
        </w:tc>
        <w:tc>
          <w:tcPr>
            <w:tcW w:w="493" w:type="dxa"/>
            <w:vMerge w:val="restart"/>
            <w:vAlign w:val="center"/>
          </w:tcPr>
          <w:p w14:paraId="4B2F57E8" w14:textId="77777777" w:rsidR="0020604C" w:rsidRDefault="0020604C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4510" w:type="dxa"/>
          </w:tcPr>
          <w:p w14:paraId="724C4B2D" w14:textId="06FFC186" w:rsidR="0020604C" w:rsidRDefault="0020604C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mòn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lũy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</w:p>
        </w:tc>
      </w:tr>
      <w:tr w:rsidR="0020604C" w14:paraId="73C9513F" w14:textId="77777777" w:rsidTr="0020604C">
        <w:trPr>
          <w:jc w:val="center"/>
        </w:trPr>
        <w:tc>
          <w:tcPr>
            <w:tcW w:w="1292" w:type="dxa"/>
            <w:vMerge/>
          </w:tcPr>
          <w:p w14:paraId="6343F8F0" w14:textId="77777777" w:rsidR="0020604C" w:rsidRDefault="0020604C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dxa"/>
            <w:vMerge/>
          </w:tcPr>
          <w:p w14:paraId="41B1F205" w14:textId="77777777" w:rsidR="0020604C" w:rsidRDefault="0020604C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0" w:type="dxa"/>
          </w:tcPr>
          <w:p w14:paraId="629E73B2" w14:textId="1C0E0886" w:rsidR="0020604C" w:rsidRDefault="0020604C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TSCĐ</w:t>
            </w:r>
          </w:p>
        </w:tc>
      </w:tr>
    </w:tbl>
    <w:p w14:paraId="3BE429AE" w14:textId="2F8A673F" w:rsidR="0020604C" w:rsidRDefault="0020604C" w:rsidP="00B560E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TSCĐ,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TSCĐ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TSCĐ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TSCĐ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bị.Đây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nhằm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TSCĐ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TSCĐ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chịu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TSCĐ, do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TSCĐ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2914"/>
        <w:gridCol w:w="493"/>
        <w:gridCol w:w="3250"/>
      </w:tblGrid>
      <w:tr w:rsidR="0020604C" w14:paraId="06DFC7E8" w14:textId="77777777" w:rsidTr="0020604C">
        <w:trPr>
          <w:jc w:val="center"/>
        </w:trPr>
        <w:tc>
          <w:tcPr>
            <w:tcW w:w="2914" w:type="dxa"/>
            <w:vMerge w:val="restart"/>
            <w:vAlign w:val="center"/>
          </w:tcPr>
          <w:p w14:paraId="17367452" w14:textId="782DE01E" w:rsidR="0020604C" w:rsidRDefault="0020604C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TSCĐ</w:t>
            </w:r>
          </w:p>
        </w:tc>
        <w:tc>
          <w:tcPr>
            <w:tcW w:w="493" w:type="dxa"/>
            <w:vMerge w:val="restart"/>
            <w:vAlign w:val="center"/>
          </w:tcPr>
          <w:p w14:paraId="1F193C3E" w14:textId="77777777" w:rsidR="0020604C" w:rsidRDefault="0020604C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3250" w:type="dxa"/>
          </w:tcPr>
          <w:p w14:paraId="2628D0D2" w14:textId="34A5A065" w:rsidR="0020604C" w:rsidRDefault="0020604C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0604C" w14:paraId="2DD0BF7E" w14:textId="77777777" w:rsidTr="0020604C">
        <w:trPr>
          <w:jc w:val="center"/>
        </w:trPr>
        <w:tc>
          <w:tcPr>
            <w:tcW w:w="2914" w:type="dxa"/>
            <w:vMerge/>
          </w:tcPr>
          <w:p w14:paraId="5204CAEC" w14:textId="77777777" w:rsidR="0020604C" w:rsidRDefault="0020604C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dxa"/>
            <w:vMerge/>
          </w:tcPr>
          <w:p w14:paraId="1CE9B00E" w14:textId="77777777" w:rsidR="0020604C" w:rsidRDefault="0020604C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</w:tcPr>
          <w:p w14:paraId="4C13C747" w14:textId="215BAAEC" w:rsidR="0020604C" w:rsidRDefault="0020604C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TSCĐ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</w:p>
        </w:tc>
      </w:tr>
    </w:tbl>
    <w:p w14:paraId="6BA7961B" w14:textId="74C1AB77" w:rsidR="0020604C" w:rsidRPr="00F30BE8" w:rsidRDefault="0020604C" w:rsidP="00B560E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TSCĐ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1A6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FC51A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9920F60" w14:textId="50201481" w:rsidR="00706AF9" w:rsidRPr="00706AF9" w:rsidRDefault="00706AF9" w:rsidP="00B560E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2. </w:t>
      </w:r>
      <w:proofErr w:type="spellStart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>Hiệu</w:t>
      </w:r>
      <w:proofErr w:type="spellEnd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>quả</w:t>
      </w:r>
      <w:proofErr w:type="spellEnd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>từ</w:t>
      </w:r>
      <w:proofErr w:type="spellEnd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sử</w:t>
      </w:r>
      <w:proofErr w:type="spellEnd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>dụng</w:t>
      </w:r>
      <w:proofErr w:type="spellEnd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>vốn</w:t>
      </w:r>
      <w:proofErr w:type="spellEnd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>lưu</w:t>
      </w:r>
      <w:proofErr w:type="spellEnd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06AF9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động</w:t>
      </w:r>
      <w:proofErr w:type="spellEnd"/>
    </w:p>
    <w:p w14:paraId="123277A4" w14:textId="73539A3D" w:rsidR="007A2B10" w:rsidRDefault="00FC51A6" w:rsidP="00B560E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ngắn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khâu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thụ</w:t>
      </w:r>
      <w:proofErr w:type="spellEnd"/>
      <w:r>
        <w:rPr>
          <w:rFonts w:ascii="Times New Roman" w:hAnsi="Times New Roman" w:cs="Times New Roman"/>
          <w:sz w:val="26"/>
          <w:szCs w:val="26"/>
        </w:rPr>
        <w:t>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luân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hoán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lastRenderedPageBreak/>
        <w:t>dàng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. Do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tùy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44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5F644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950FA7D" w14:textId="50C584EE" w:rsidR="005F6441" w:rsidRDefault="005F6441" w:rsidP="00B560E9">
      <w:pPr>
        <w:jc w:val="both"/>
        <w:rPr>
          <w:rFonts w:ascii="Times New Roman" w:hAnsi="Times New Roman" w:cs="Times New Roman"/>
          <w:sz w:val="26"/>
          <w:szCs w:val="26"/>
        </w:rPr>
      </w:pPr>
      <w:r w:rsidRPr="005F644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quay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ngắn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</w:t>
      </w:r>
      <w:proofErr w:type="spellEnd"/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2816"/>
        <w:gridCol w:w="493"/>
        <w:gridCol w:w="4510"/>
      </w:tblGrid>
      <w:tr w:rsidR="005F6441" w14:paraId="3FD0B1AE" w14:textId="77777777" w:rsidTr="005F6441">
        <w:trPr>
          <w:jc w:val="center"/>
        </w:trPr>
        <w:tc>
          <w:tcPr>
            <w:tcW w:w="2816" w:type="dxa"/>
            <w:vMerge w:val="restart"/>
            <w:vAlign w:val="center"/>
          </w:tcPr>
          <w:p w14:paraId="3DE99096" w14:textId="033F2D90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quay TSNH</w:t>
            </w:r>
          </w:p>
        </w:tc>
        <w:tc>
          <w:tcPr>
            <w:tcW w:w="493" w:type="dxa"/>
            <w:vMerge w:val="restart"/>
            <w:vAlign w:val="center"/>
          </w:tcPr>
          <w:p w14:paraId="445CABD3" w14:textId="77777777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4510" w:type="dxa"/>
          </w:tcPr>
          <w:p w14:paraId="3238959F" w14:textId="54722ECE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BH, CCDV</w:t>
            </w:r>
          </w:p>
        </w:tc>
      </w:tr>
      <w:tr w:rsidR="005F6441" w14:paraId="4EA83424" w14:textId="77777777" w:rsidTr="005F6441">
        <w:trPr>
          <w:jc w:val="center"/>
        </w:trPr>
        <w:tc>
          <w:tcPr>
            <w:tcW w:w="2816" w:type="dxa"/>
            <w:vMerge/>
          </w:tcPr>
          <w:p w14:paraId="443D2D89" w14:textId="77777777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dxa"/>
            <w:vMerge/>
          </w:tcPr>
          <w:p w14:paraId="7A08CBFD" w14:textId="77777777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0" w:type="dxa"/>
          </w:tcPr>
          <w:p w14:paraId="3E86A657" w14:textId="401FE4B7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TSNH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</w:p>
        </w:tc>
      </w:tr>
      <w:tr w:rsidR="005F6441" w14:paraId="1DA891DF" w14:textId="77777777" w:rsidTr="005F6441">
        <w:trPr>
          <w:jc w:val="center"/>
        </w:trPr>
        <w:tc>
          <w:tcPr>
            <w:tcW w:w="2816" w:type="dxa"/>
            <w:vMerge w:val="restart"/>
          </w:tcPr>
          <w:p w14:paraId="6F90D902" w14:textId="3C10DCE2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quay</w:t>
            </w:r>
          </w:p>
        </w:tc>
        <w:tc>
          <w:tcPr>
            <w:tcW w:w="493" w:type="dxa"/>
            <w:vMerge w:val="restart"/>
            <w:vAlign w:val="center"/>
          </w:tcPr>
          <w:p w14:paraId="22E20B3A" w14:textId="6DF6A9A2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4510" w:type="dxa"/>
          </w:tcPr>
          <w:p w14:paraId="54D58051" w14:textId="67B1F3E5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</w:p>
        </w:tc>
      </w:tr>
      <w:tr w:rsidR="005F6441" w14:paraId="6F4131D6" w14:textId="77777777" w:rsidTr="005F6441">
        <w:trPr>
          <w:jc w:val="center"/>
        </w:trPr>
        <w:tc>
          <w:tcPr>
            <w:tcW w:w="2816" w:type="dxa"/>
            <w:vMerge/>
          </w:tcPr>
          <w:p w14:paraId="6A9049AF" w14:textId="77777777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dxa"/>
            <w:vMerge/>
          </w:tcPr>
          <w:p w14:paraId="3C67BC3B" w14:textId="77777777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0" w:type="dxa"/>
          </w:tcPr>
          <w:p w14:paraId="72ACEE5C" w14:textId="5C7EBA5C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quay TSNH</w:t>
            </w:r>
          </w:p>
        </w:tc>
      </w:tr>
    </w:tbl>
    <w:p w14:paraId="44897261" w14:textId="65A35A04" w:rsidR="005F6441" w:rsidRDefault="005F6441" w:rsidP="00B560E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TSNH,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quay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TSNH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daonh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TSNh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mọi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TSNH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TSNH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TSNH,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tách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hang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60E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B560E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FDEC45F" w14:textId="3FB12776" w:rsidR="005F6441" w:rsidRDefault="005F6441" w:rsidP="00B560E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quay hang </w:t>
      </w:r>
      <w:proofErr w:type="spellStart"/>
      <w:r>
        <w:rPr>
          <w:rFonts w:ascii="Times New Roman" w:hAnsi="Times New Roman" w:cs="Times New Roman"/>
          <w:sz w:val="26"/>
          <w:szCs w:val="26"/>
        </w:rPr>
        <w:t>tồn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</w:t>
      </w:r>
      <w:proofErr w:type="spellEnd"/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2816"/>
        <w:gridCol w:w="493"/>
        <w:gridCol w:w="4510"/>
      </w:tblGrid>
      <w:tr w:rsidR="005F6441" w14:paraId="7310F31B" w14:textId="77777777" w:rsidTr="00B560E9">
        <w:trPr>
          <w:jc w:val="center"/>
        </w:trPr>
        <w:tc>
          <w:tcPr>
            <w:tcW w:w="2816" w:type="dxa"/>
            <w:vMerge w:val="restart"/>
            <w:vAlign w:val="center"/>
          </w:tcPr>
          <w:p w14:paraId="470BC60A" w14:textId="5314BB8C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quay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</w:p>
        </w:tc>
        <w:tc>
          <w:tcPr>
            <w:tcW w:w="493" w:type="dxa"/>
            <w:vMerge w:val="restart"/>
            <w:vAlign w:val="center"/>
          </w:tcPr>
          <w:p w14:paraId="29B93E68" w14:textId="77777777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4510" w:type="dxa"/>
          </w:tcPr>
          <w:p w14:paraId="429BEE47" w14:textId="5B1521A3" w:rsidR="005F6441" w:rsidRDefault="00B560E9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vốn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hang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</w:p>
        </w:tc>
      </w:tr>
      <w:tr w:rsidR="005F6441" w14:paraId="1854CA23" w14:textId="77777777" w:rsidTr="00B560E9">
        <w:trPr>
          <w:jc w:val="center"/>
        </w:trPr>
        <w:tc>
          <w:tcPr>
            <w:tcW w:w="2816" w:type="dxa"/>
            <w:vMerge/>
          </w:tcPr>
          <w:p w14:paraId="6C4B406D" w14:textId="77777777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dxa"/>
            <w:vMerge/>
          </w:tcPr>
          <w:p w14:paraId="1DF38BE9" w14:textId="77777777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0" w:type="dxa"/>
          </w:tcPr>
          <w:p w14:paraId="234B3C4B" w14:textId="154C069C" w:rsidR="005F6441" w:rsidRDefault="00B560E9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HTK</w:t>
            </w:r>
            <w:r w:rsidR="005F64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F6441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="005F64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F6441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</w:p>
        </w:tc>
      </w:tr>
      <w:tr w:rsidR="005F6441" w14:paraId="038767CA" w14:textId="77777777" w:rsidTr="00B560E9">
        <w:trPr>
          <w:jc w:val="center"/>
        </w:trPr>
        <w:tc>
          <w:tcPr>
            <w:tcW w:w="2816" w:type="dxa"/>
            <w:vMerge w:val="restart"/>
          </w:tcPr>
          <w:p w14:paraId="07DB5FBC" w14:textId="77777777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quay</w:t>
            </w:r>
          </w:p>
        </w:tc>
        <w:tc>
          <w:tcPr>
            <w:tcW w:w="493" w:type="dxa"/>
            <w:vMerge w:val="restart"/>
            <w:vAlign w:val="center"/>
          </w:tcPr>
          <w:p w14:paraId="05F4598F" w14:textId="77777777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4510" w:type="dxa"/>
          </w:tcPr>
          <w:p w14:paraId="0A1C8783" w14:textId="77777777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</w:p>
        </w:tc>
      </w:tr>
      <w:tr w:rsidR="005F6441" w14:paraId="46D73AA8" w14:textId="77777777" w:rsidTr="00B560E9">
        <w:trPr>
          <w:jc w:val="center"/>
        </w:trPr>
        <w:tc>
          <w:tcPr>
            <w:tcW w:w="2816" w:type="dxa"/>
            <w:vMerge/>
          </w:tcPr>
          <w:p w14:paraId="7CA55086" w14:textId="77777777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dxa"/>
            <w:vMerge/>
          </w:tcPr>
          <w:p w14:paraId="6D0F21F5" w14:textId="77777777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0" w:type="dxa"/>
          </w:tcPr>
          <w:p w14:paraId="7896A8D0" w14:textId="2D94F096" w:rsidR="005F6441" w:rsidRDefault="005F6441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quay </w:t>
            </w:r>
            <w:r w:rsidR="00B560E9">
              <w:rPr>
                <w:rFonts w:ascii="Times New Roman" w:hAnsi="Times New Roman" w:cs="Times New Roman"/>
                <w:sz w:val="26"/>
                <w:szCs w:val="26"/>
              </w:rPr>
              <w:t>HTK</w:t>
            </w:r>
          </w:p>
        </w:tc>
      </w:tr>
    </w:tbl>
    <w:p w14:paraId="0A43AB8B" w14:textId="61350DAF" w:rsidR="005F6441" w:rsidRDefault="005F6441" w:rsidP="00B560E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49232C" w14:textId="798F2D64" w:rsidR="00B560E9" w:rsidRDefault="00B560E9" w:rsidP="00B560E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quay </w:t>
      </w:r>
      <w:proofErr w:type="spellStart"/>
      <w:r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hàng</w:t>
      </w:r>
      <w:proofErr w:type="spellEnd"/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2816"/>
        <w:gridCol w:w="493"/>
        <w:gridCol w:w="4510"/>
      </w:tblGrid>
      <w:tr w:rsidR="00B560E9" w14:paraId="01DE6879" w14:textId="77777777" w:rsidTr="00B560E9">
        <w:trPr>
          <w:jc w:val="center"/>
        </w:trPr>
        <w:tc>
          <w:tcPr>
            <w:tcW w:w="2816" w:type="dxa"/>
            <w:vMerge w:val="restart"/>
            <w:vAlign w:val="center"/>
          </w:tcPr>
          <w:p w14:paraId="05D7400E" w14:textId="1D0689A8" w:rsidR="00B560E9" w:rsidRDefault="00B560E9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quay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</w:p>
        </w:tc>
        <w:tc>
          <w:tcPr>
            <w:tcW w:w="493" w:type="dxa"/>
            <w:vMerge w:val="restart"/>
            <w:vAlign w:val="center"/>
          </w:tcPr>
          <w:p w14:paraId="2DC1104F" w14:textId="77777777" w:rsidR="00B560E9" w:rsidRDefault="00B560E9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4510" w:type="dxa"/>
          </w:tcPr>
          <w:p w14:paraId="629B7B84" w14:textId="0344C658" w:rsidR="00B560E9" w:rsidRDefault="00B560E9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chịu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+ VAT</w:t>
            </w:r>
          </w:p>
        </w:tc>
      </w:tr>
      <w:tr w:rsidR="00B560E9" w14:paraId="52324254" w14:textId="77777777" w:rsidTr="00B560E9">
        <w:trPr>
          <w:jc w:val="center"/>
        </w:trPr>
        <w:tc>
          <w:tcPr>
            <w:tcW w:w="2816" w:type="dxa"/>
            <w:vMerge/>
          </w:tcPr>
          <w:p w14:paraId="4C5AA48D" w14:textId="77777777" w:rsidR="00B560E9" w:rsidRDefault="00B560E9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dxa"/>
            <w:vMerge/>
          </w:tcPr>
          <w:p w14:paraId="4C6790B6" w14:textId="77777777" w:rsidR="00B560E9" w:rsidRDefault="00B560E9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0" w:type="dxa"/>
          </w:tcPr>
          <w:p w14:paraId="3C277EA5" w14:textId="310C22F5" w:rsidR="00B560E9" w:rsidRDefault="00B560E9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KPTKH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</w:p>
        </w:tc>
      </w:tr>
      <w:tr w:rsidR="00B560E9" w14:paraId="3FE7C07C" w14:textId="77777777" w:rsidTr="00B560E9">
        <w:trPr>
          <w:jc w:val="center"/>
        </w:trPr>
        <w:tc>
          <w:tcPr>
            <w:tcW w:w="2816" w:type="dxa"/>
            <w:vMerge w:val="restart"/>
          </w:tcPr>
          <w:p w14:paraId="6D2767CE" w14:textId="77777777" w:rsidR="00B560E9" w:rsidRDefault="00B560E9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quay</w:t>
            </w:r>
          </w:p>
        </w:tc>
        <w:tc>
          <w:tcPr>
            <w:tcW w:w="493" w:type="dxa"/>
            <w:vMerge w:val="restart"/>
            <w:vAlign w:val="center"/>
          </w:tcPr>
          <w:p w14:paraId="1BC63B21" w14:textId="77777777" w:rsidR="00B560E9" w:rsidRDefault="00B560E9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4510" w:type="dxa"/>
          </w:tcPr>
          <w:p w14:paraId="1ED72D0B" w14:textId="77777777" w:rsidR="00B560E9" w:rsidRDefault="00B560E9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</w:p>
        </w:tc>
      </w:tr>
      <w:tr w:rsidR="00B560E9" w14:paraId="4069047C" w14:textId="77777777" w:rsidTr="00B560E9">
        <w:trPr>
          <w:jc w:val="center"/>
        </w:trPr>
        <w:tc>
          <w:tcPr>
            <w:tcW w:w="2816" w:type="dxa"/>
            <w:vMerge/>
          </w:tcPr>
          <w:p w14:paraId="38D02572" w14:textId="77777777" w:rsidR="00B560E9" w:rsidRDefault="00B560E9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dxa"/>
            <w:vMerge/>
          </w:tcPr>
          <w:p w14:paraId="24395C6F" w14:textId="77777777" w:rsidR="00B560E9" w:rsidRDefault="00B560E9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0" w:type="dxa"/>
          </w:tcPr>
          <w:p w14:paraId="479BD5E1" w14:textId="429727F3" w:rsidR="00B560E9" w:rsidRDefault="00B560E9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quay KPTKH</w:t>
            </w:r>
          </w:p>
        </w:tc>
      </w:tr>
    </w:tbl>
    <w:p w14:paraId="4B5AE67D" w14:textId="553895E4" w:rsidR="00B560E9" w:rsidRDefault="00B560E9" w:rsidP="00B560E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ty HẠNH NGUYÊN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nồi</w:t>
      </w:r>
      <w:proofErr w:type="spellEnd"/>
      <w:r>
        <w:rPr>
          <w:rFonts w:ascii="Times New Roman" w:hAnsi="Times New Roman" w:cs="Times New Roman"/>
          <w:sz w:val="26"/>
          <w:szCs w:val="26"/>
        </w:rPr>
        <w:t>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2019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2018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3748"/>
        <w:gridCol w:w="866"/>
        <w:gridCol w:w="866"/>
        <w:gridCol w:w="1523"/>
        <w:gridCol w:w="1018"/>
      </w:tblGrid>
      <w:tr w:rsidR="001278A2" w:rsidRPr="001278A2" w14:paraId="48B0EE28" w14:textId="0BA7096F" w:rsidTr="00C472D4">
        <w:trPr>
          <w:jc w:val="center"/>
        </w:trPr>
        <w:tc>
          <w:tcPr>
            <w:tcW w:w="3748" w:type="dxa"/>
          </w:tcPr>
          <w:p w14:paraId="48F6BFC2" w14:textId="3293DE7B" w:rsidR="001278A2" w:rsidRPr="001278A2" w:rsidRDefault="001278A2" w:rsidP="00B560E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Chỉ</w:t>
            </w:r>
            <w:proofErr w:type="spellEnd"/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866" w:type="dxa"/>
          </w:tcPr>
          <w:p w14:paraId="3D274E91" w14:textId="693ADA08" w:rsidR="001278A2" w:rsidRPr="001278A2" w:rsidRDefault="001278A2" w:rsidP="00B560E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2018</w:t>
            </w:r>
          </w:p>
        </w:tc>
        <w:tc>
          <w:tcPr>
            <w:tcW w:w="866" w:type="dxa"/>
          </w:tcPr>
          <w:p w14:paraId="27FDE965" w14:textId="11CB58AC" w:rsidR="001278A2" w:rsidRPr="001278A2" w:rsidRDefault="001278A2" w:rsidP="00B560E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2019</w:t>
            </w:r>
          </w:p>
        </w:tc>
        <w:tc>
          <w:tcPr>
            <w:tcW w:w="1523" w:type="dxa"/>
          </w:tcPr>
          <w:p w14:paraId="52EF7D90" w14:textId="328E989E" w:rsidR="001278A2" w:rsidRPr="001278A2" w:rsidRDefault="001278A2" w:rsidP="00B560E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Chênh</w:t>
            </w:r>
            <w:proofErr w:type="spellEnd"/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lệch</w:t>
            </w:r>
            <w:proofErr w:type="spellEnd"/>
          </w:p>
        </w:tc>
        <w:tc>
          <w:tcPr>
            <w:tcW w:w="1018" w:type="dxa"/>
          </w:tcPr>
          <w:p w14:paraId="2221970E" w14:textId="2381AA42" w:rsidR="001278A2" w:rsidRPr="001278A2" w:rsidRDefault="001278A2" w:rsidP="00B560E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1278A2" w:rsidRPr="001278A2" w14:paraId="7D3AE441" w14:textId="7DACC29B" w:rsidTr="00C472D4">
        <w:trPr>
          <w:jc w:val="center"/>
        </w:trPr>
        <w:tc>
          <w:tcPr>
            <w:tcW w:w="3748" w:type="dxa"/>
          </w:tcPr>
          <w:p w14:paraId="46AD3D23" w14:textId="765D590E" w:rsidR="001278A2" w:rsidRPr="001278A2" w:rsidRDefault="001278A2" w:rsidP="001278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proofErr w:type="spellStart"/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</w:t>
            </w:r>
            <w:proofErr w:type="spellEnd"/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quả</w:t>
            </w:r>
            <w:proofErr w:type="spellEnd"/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sd</w:t>
            </w:r>
            <w:proofErr w:type="spellEnd"/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VCĐ</w:t>
            </w:r>
          </w:p>
        </w:tc>
        <w:tc>
          <w:tcPr>
            <w:tcW w:w="866" w:type="dxa"/>
          </w:tcPr>
          <w:p w14:paraId="7F0F41ED" w14:textId="77777777" w:rsidR="001278A2" w:rsidRPr="001278A2" w:rsidRDefault="001278A2" w:rsidP="00B560E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6" w:type="dxa"/>
          </w:tcPr>
          <w:p w14:paraId="0761159D" w14:textId="77777777" w:rsidR="001278A2" w:rsidRPr="001278A2" w:rsidRDefault="001278A2" w:rsidP="00B560E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23" w:type="dxa"/>
          </w:tcPr>
          <w:p w14:paraId="3286ECE5" w14:textId="77777777" w:rsidR="001278A2" w:rsidRPr="001278A2" w:rsidRDefault="001278A2" w:rsidP="00B560E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18" w:type="dxa"/>
          </w:tcPr>
          <w:p w14:paraId="67B2C24C" w14:textId="77777777" w:rsidR="001278A2" w:rsidRPr="001278A2" w:rsidRDefault="001278A2" w:rsidP="00B560E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278A2" w14:paraId="2A825C14" w14:textId="4FD4BF8A" w:rsidTr="00C472D4">
        <w:trPr>
          <w:jc w:val="center"/>
        </w:trPr>
        <w:tc>
          <w:tcPr>
            <w:tcW w:w="3748" w:type="dxa"/>
          </w:tcPr>
          <w:p w14:paraId="5753945D" w14:textId="1534D745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VCĐ</w:t>
            </w:r>
          </w:p>
        </w:tc>
        <w:tc>
          <w:tcPr>
            <w:tcW w:w="866" w:type="dxa"/>
          </w:tcPr>
          <w:p w14:paraId="3C6F8C47" w14:textId="411A72F1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</w:t>
            </w:r>
          </w:p>
        </w:tc>
        <w:tc>
          <w:tcPr>
            <w:tcW w:w="866" w:type="dxa"/>
          </w:tcPr>
          <w:p w14:paraId="1E654721" w14:textId="2AE61572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3,4</w:t>
            </w:r>
          </w:p>
        </w:tc>
        <w:tc>
          <w:tcPr>
            <w:tcW w:w="1523" w:type="dxa"/>
          </w:tcPr>
          <w:p w14:paraId="2E666D78" w14:textId="2A12048E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</w:t>
            </w:r>
          </w:p>
        </w:tc>
        <w:tc>
          <w:tcPr>
            <w:tcW w:w="1018" w:type="dxa"/>
          </w:tcPr>
          <w:p w14:paraId="2FC4FA7C" w14:textId="4D2B8F5A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47,83%</w:t>
            </w:r>
          </w:p>
        </w:tc>
      </w:tr>
      <w:tr w:rsidR="001278A2" w14:paraId="75C9ADAF" w14:textId="32CA295C" w:rsidTr="00C472D4">
        <w:trPr>
          <w:jc w:val="center"/>
        </w:trPr>
        <w:tc>
          <w:tcPr>
            <w:tcW w:w="3748" w:type="dxa"/>
          </w:tcPr>
          <w:p w14:paraId="661329AE" w14:textId="4CDD6BC0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Hao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mòn</w:t>
            </w:r>
            <w:proofErr w:type="spellEnd"/>
          </w:p>
        </w:tc>
        <w:tc>
          <w:tcPr>
            <w:tcW w:w="866" w:type="dxa"/>
          </w:tcPr>
          <w:p w14:paraId="0832DDD1" w14:textId="06DEA11E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66" w:type="dxa"/>
          </w:tcPr>
          <w:p w14:paraId="22745A18" w14:textId="5FB1B910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523" w:type="dxa"/>
          </w:tcPr>
          <w:p w14:paraId="64B102EA" w14:textId="30E6F214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018" w:type="dxa"/>
          </w:tcPr>
          <w:p w14:paraId="10A17EC0" w14:textId="21ADCACC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16,67%</w:t>
            </w:r>
          </w:p>
        </w:tc>
      </w:tr>
      <w:tr w:rsidR="001278A2" w14:paraId="01B9C4DD" w14:textId="1E883470" w:rsidTr="00C472D4">
        <w:trPr>
          <w:jc w:val="center"/>
        </w:trPr>
        <w:tc>
          <w:tcPr>
            <w:tcW w:w="3748" w:type="dxa"/>
          </w:tcPr>
          <w:p w14:paraId="55191B3E" w14:textId="5F16122D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TSCĐ</w:t>
            </w:r>
          </w:p>
        </w:tc>
        <w:tc>
          <w:tcPr>
            <w:tcW w:w="866" w:type="dxa"/>
          </w:tcPr>
          <w:p w14:paraId="3F36FF5A" w14:textId="749CB06B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5,5</w:t>
            </w:r>
          </w:p>
        </w:tc>
        <w:tc>
          <w:tcPr>
            <w:tcW w:w="866" w:type="dxa"/>
          </w:tcPr>
          <w:p w14:paraId="3BEEF3C4" w14:textId="6701016D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5,7</w:t>
            </w:r>
          </w:p>
        </w:tc>
        <w:tc>
          <w:tcPr>
            <w:tcW w:w="1523" w:type="dxa"/>
          </w:tcPr>
          <w:p w14:paraId="590A7866" w14:textId="61725725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018" w:type="dxa"/>
          </w:tcPr>
          <w:p w14:paraId="6A50785D" w14:textId="454411B4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3,63%</w:t>
            </w:r>
          </w:p>
        </w:tc>
      </w:tr>
      <w:tr w:rsidR="001278A2" w:rsidRPr="001278A2" w14:paraId="63C5E612" w14:textId="2C267329" w:rsidTr="00C472D4">
        <w:trPr>
          <w:jc w:val="center"/>
        </w:trPr>
        <w:tc>
          <w:tcPr>
            <w:tcW w:w="3748" w:type="dxa"/>
          </w:tcPr>
          <w:p w14:paraId="4EC203AA" w14:textId="288FDE5A" w:rsidR="001278A2" w:rsidRPr="001278A2" w:rsidRDefault="001278A2" w:rsidP="00B560E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II. </w:t>
            </w:r>
            <w:proofErr w:type="spellStart"/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</w:t>
            </w:r>
            <w:proofErr w:type="spellEnd"/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quả</w:t>
            </w:r>
            <w:proofErr w:type="spellEnd"/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sd</w:t>
            </w:r>
            <w:proofErr w:type="spellEnd"/>
            <w:r w:rsidRPr="001278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VLĐ</w:t>
            </w:r>
          </w:p>
        </w:tc>
        <w:tc>
          <w:tcPr>
            <w:tcW w:w="866" w:type="dxa"/>
          </w:tcPr>
          <w:p w14:paraId="04135F24" w14:textId="77777777" w:rsidR="001278A2" w:rsidRPr="001278A2" w:rsidRDefault="001278A2" w:rsidP="00B560E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6" w:type="dxa"/>
          </w:tcPr>
          <w:p w14:paraId="76358C0A" w14:textId="77777777" w:rsidR="001278A2" w:rsidRPr="001278A2" w:rsidRDefault="001278A2" w:rsidP="00B560E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23" w:type="dxa"/>
          </w:tcPr>
          <w:p w14:paraId="7F4A6306" w14:textId="77777777" w:rsidR="001278A2" w:rsidRPr="001278A2" w:rsidRDefault="001278A2" w:rsidP="00B560E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18" w:type="dxa"/>
          </w:tcPr>
          <w:p w14:paraId="5A1CAA89" w14:textId="77777777" w:rsidR="001278A2" w:rsidRPr="001278A2" w:rsidRDefault="001278A2" w:rsidP="00B560E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278A2" w14:paraId="39B1093F" w14:textId="18C71DEB" w:rsidTr="00C472D4">
        <w:trPr>
          <w:jc w:val="center"/>
        </w:trPr>
        <w:tc>
          <w:tcPr>
            <w:tcW w:w="3748" w:type="dxa"/>
          </w:tcPr>
          <w:p w14:paraId="3A183B59" w14:textId="15A8119F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quay TSNH</w:t>
            </w:r>
          </w:p>
        </w:tc>
        <w:tc>
          <w:tcPr>
            <w:tcW w:w="866" w:type="dxa"/>
          </w:tcPr>
          <w:p w14:paraId="4EA99402" w14:textId="2CA0AD68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6" w:type="dxa"/>
          </w:tcPr>
          <w:p w14:paraId="5A9FDFED" w14:textId="4E815301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1523" w:type="dxa"/>
          </w:tcPr>
          <w:p w14:paraId="425E60B6" w14:textId="125539EC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018" w:type="dxa"/>
          </w:tcPr>
          <w:p w14:paraId="29D3732D" w14:textId="2F29743C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16,67%</w:t>
            </w:r>
          </w:p>
        </w:tc>
      </w:tr>
      <w:tr w:rsidR="001278A2" w14:paraId="013F3F39" w14:textId="2FF63EAB" w:rsidTr="00C472D4">
        <w:trPr>
          <w:jc w:val="center"/>
        </w:trPr>
        <w:tc>
          <w:tcPr>
            <w:tcW w:w="3748" w:type="dxa"/>
          </w:tcPr>
          <w:p w14:paraId="57BC9BA3" w14:textId="2580F4AA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quay TSNH</w:t>
            </w:r>
          </w:p>
        </w:tc>
        <w:tc>
          <w:tcPr>
            <w:tcW w:w="866" w:type="dxa"/>
          </w:tcPr>
          <w:p w14:paraId="79ABAFAD" w14:textId="3B760325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866" w:type="dxa"/>
          </w:tcPr>
          <w:p w14:paraId="4A7F7C87" w14:textId="3A7CD88B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523" w:type="dxa"/>
          </w:tcPr>
          <w:p w14:paraId="17D92A7A" w14:textId="59D96BCC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-17</w:t>
            </w:r>
          </w:p>
        </w:tc>
        <w:tc>
          <w:tcPr>
            <w:tcW w:w="1018" w:type="dxa"/>
          </w:tcPr>
          <w:p w14:paraId="14CEFE3D" w14:textId="77777777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8A2" w14:paraId="36852732" w14:textId="77777777" w:rsidTr="00C472D4">
        <w:trPr>
          <w:jc w:val="center"/>
        </w:trPr>
        <w:tc>
          <w:tcPr>
            <w:tcW w:w="3748" w:type="dxa"/>
          </w:tcPr>
          <w:p w14:paraId="516435E3" w14:textId="17BCE06A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quay HTK</w:t>
            </w:r>
          </w:p>
        </w:tc>
        <w:tc>
          <w:tcPr>
            <w:tcW w:w="866" w:type="dxa"/>
          </w:tcPr>
          <w:p w14:paraId="0C742321" w14:textId="03E49B10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5,2</w:t>
            </w:r>
          </w:p>
        </w:tc>
        <w:tc>
          <w:tcPr>
            <w:tcW w:w="866" w:type="dxa"/>
          </w:tcPr>
          <w:p w14:paraId="5E745E69" w14:textId="6A727D48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4,8</w:t>
            </w:r>
          </w:p>
        </w:tc>
        <w:tc>
          <w:tcPr>
            <w:tcW w:w="1523" w:type="dxa"/>
          </w:tcPr>
          <w:p w14:paraId="3156CF8B" w14:textId="195FA918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-0,4</w:t>
            </w:r>
          </w:p>
        </w:tc>
        <w:tc>
          <w:tcPr>
            <w:tcW w:w="1018" w:type="dxa"/>
          </w:tcPr>
          <w:p w14:paraId="6A64C276" w14:textId="73EF6DD7" w:rsidR="001278A2" w:rsidRDefault="00C472D4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-7,69%</w:t>
            </w:r>
          </w:p>
        </w:tc>
      </w:tr>
      <w:tr w:rsidR="001278A2" w14:paraId="63354730" w14:textId="77777777" w:rsidTr="00C472D4">
        <w:trPr>
          <w:jc w:val="center"/>
        </w:trPr>
        <w:tc>
          <w:tcPr>
            <w:tcW w:w="3748" w:type="dxa"/>
          </w:tcPr>
          <w:p w14:paraId="5985E737" w14:textId="12DD55B8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quay HTK</w:t>
            </w:r>
          </w:p>
        </w:tc>
        <w:tc>
          <w:tcPr>
            <w:tcW w:w="866" w:type="dxa"/>
          </w:tcPr>
          <w:p w14:paraId="010416AE" w14:textId="5402AEF8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66" w:type="dxa"/>
          </w:tcPr>
          <w:p w14:paraId="14E6C1B1" w14:textId="2CE2660A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523" w:type="dxa"/>
          </w:tcPr>
          <w:p w14:paraId="73A16AC8" w14:textId="05E6C820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18" w:type="dxa"/>
          </w:tcPr>
          <w:p w14:paraId="128A6AF0" w14:textId="77777777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8A2" w14:paraId="0E8165D1" w14:textId="77777777" w:rsidTr="00C472D4">
        <w:trPr>
          <w:jc w:val="center"/>
        </w:trPr>
        <w:tc>
          <w:tcPr>
            <w:tcW w:w="3748" w:type="dxa"/>
          </w:tcPr>
          <w:p w14:paraId="782DD06D" w14:textId="389268A2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quay KPTKH</w:t>
            </w:r>
          </w:p>
        </w:tc>
        <w:tc>
          <w:tcPr>
            <w:tcW w:w="866" w:type="dxa"/>
          </w:tcPr>
          <w:p w14:paraId="10A1E115" w14:textId="523356A2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4,1</w:t>
            </w:r>
          </w:p>
        </w:tc>
        <w:tc>
          <w:tcPr>
            <w:tcW w:w="866" w:type="dxa"/>
          </w:tcPr>
          <w:p w14:paraId="2D44A34B" w14:textId="4924F2D7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4,6</w:t>
            </w:r>
          </w:p>
        </w:tc>
        <w:tc>
          <w:tcPr>
            <w:tcW w:w="1523" w:type="dxa"/>
          </w:tcPr>
          <w:p w14:paraId="3D3944B8" w14:textId="52E3C600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018" w:type="dxa"/>
          </w:tcPr>
          <w:p w14:paraId="590E23D4" w14:textId="72A2C3B5" w:rsidR="001278A2" w:rsidRDefault="00C472D4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12,2%</w:t>
            </w:r>
          </w:p>
        </w:tc>
      </w:tr>
      <w:tr w:rsidR="001278A2" w14:paraId="02096E05" w14:textId="77777777" w:rsidTr="00C472D4">
        <w:trPr>
          <w:jc w:val="center"/>
        </w:trPr>
        <w:tc>
          <w:tcPr>
            <w:tcW w:w="3748" w:type="dxa"/>
          </w:tcPr>
          <w:p w14:paraId="1A90FD7C" w14:textId="408857DA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quay KPTKH</w:t>
            </w:r>
          </w:p>
        </w:tc>
        <w:tc>
          <w:tcPr>
            <w:tcW w:w="866" w:type="dxa"/>
          </w:tcPr>
          <w:p w14:paraId="47592DDA" w14:textId="36915AB5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866" w:type="dxa"/>
          </w:tcPr>
          <w:p w14:paraId="4340D9B0" w14:textId="6D71C834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523" w:type="dxa"/>
          </w:tcPr>
          <w:p w14:paraId="29EC1872" w14:textId="4F76F040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-9</w:t>
            </w:r>
          </w:p>
        </w:tc>
        <w:tc>
          <w:tcPr>
            <w:tcW w:w="1018" w:type="dxa"/>
          </w:tcPr>
          <w:p w14:paraId="61728948" w14:textId="77777777" w:rsidR="001278A2" w:rsidRDefault="001278A2" w:rsidP="00B560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6C9E572" w14:textId="39DF3450" w:rsidR="00B560E9" w:rsidRDefault="00714DD1" w:rsidP="00B560E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Qua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2019,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>
        <w:rPr>
          <w:rFonts w:ascii="Times New Roman" w:hAnsi="Times New Roman" w:cs="Times New Roman"/>
          <w:sz w:val="26"/>
          <w:szCs w:val="26"/>
        </w:rPr>
        <w:t>sánh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2018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TSCĐ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mức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chênh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lệch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6F4D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DC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6F4D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DC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6F4D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DC3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6F4D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DC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6F4D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DC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6F4D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DC3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6F4D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DC3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="006F4D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DC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6F4D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DC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6F4D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DC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6F4DC3">
        <w:rPr>
          <w:rFonts w:ascii="Times New Roman" w:hAnsi="Times New Roman" w:cs="Times New Roman"/>
          <w:sz w:val="26"/>
          <w:szCs w:val="26"/>
        </w:rPr>
        <w:t xml:space="preserve"> 2019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TSNH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2018,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luân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AF72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275">
        <w:rPr>
          <w:rFonts w:ascii="Times New Roman" w:hAnsi="Times New Roman" w:cs="Times New Roman"/>
          <w:sz w:val="26"/>
          <w:szCs w:val="26"/>
        </w:rPr>
        <w:t>n</w:t>
      </w:r>
      <w:r w:rsidR="00381CB6">
        <w:rPr>
          <w:rFonts w:ascii="Times New Roman" w:hAnsi="Times New Roman" w:cs="Times New Roman"/>
          <w:sz w:val="26"/>
          <w:szCs w:val="26"/>
        </w:rPr>
        <w:t>ày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2019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luân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2018 0,4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ứ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đọng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ứ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đọng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Dn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ứ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đọng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. Do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tSNh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Dn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hang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CB6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="00381CB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2E6AB51" w14:textId="6B809ABF" w:rsidR="00381CB6" w:rsidRDefault="00381CB6" w:rsidP="00B560E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43049A3" w14:textId="77777777" w:rsidR="00381CB6" w:rsidRDefault="00381CB6" w:rsidP="00381CB6">
      <w:pPr>
        <w:pStyle w:val="oancuaDanhsac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Phạm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Văn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Dược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(2008), </w:t>
      </w:r>
      <w:r w:rsidRPr="007354E4">
        <w:rPr>
          <w:rFonts w:ascii="Times New Roman" w:hAnsi="Times New Roman" w:cs="Times New Roman"/>
          <w:i/>
          <w:sz w:val="26"/>
          <w:szCs w:val="26"/>
          <w:lang w:val="vi-VN"/>
        </w:rPr>
        <w:t xml:space="preserve">Phân </w:t>
      </w:r>
      <w:proofErr w:type="spellStart"/>
      <w:r w:rsidRPr="007354E4">
        <w:rPr>
          <w:rFonts w:ascii="Times New Roman" w:hAnsi="Times New Roman" w:cs="Times New Roman"/>
          <w:i/>
          <w:sz w:val="26"/>
          <w:szCs w:val="26"/>
          <w:lang w:val="vi-VN"/>
        </w:rPr>
        <w:t>tích</w:t>
      </w:r>
      <w:proofErr w:type="spellEnd"/>
      <w:r w:rsidRPr="007354E4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proofErr w:type="spellStart"/>
      <w:r w:rsidRPr="007354E4">
        <w:rPr>
          <w:rFonts w:ascii="Times New Roman" w:hAnsi="Times New Roman" w:cs="Times New Roman"/>
          <w:i/>
          <w:sz w:val="26"/>
          <w:szCs w:val="26"/>
          <w:lang w:val="vi-VN"/>
        </w:rPr>
        <w:t>hoạt</w:t>
      </w:r>
      <w:proofErr w:type="spellEnd"/>
      <w:r w:rsidRPr="007354E4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proofErr w:type="spellStart"/>
      <w:r w:rsidRPr="007354E4">
        <w:rPr>
          <w:rFonts w:ascii="Times New Roman" w:hAnsi="Times New Roman" w:cs="Times New Roman"/>
          <w:i/>
          <w:sz w:val="26"/>
          <w:szCs w:val="26"/>
          <w:lang w:val="vi-VN"/>
        </w:rPr>
        <w:t>động</w:t>
      </w:r>
      <w:proofErr w:type="spellEnd"/>
      <w:r w:rsidRPr="007354E4">
        <w:rPr>
          <w:rFonts w:ascii="Times New Roman" w:hAnsi="Times New Roman" w:cs="Times New Roman"/>
          <w:i/>
          <w:sz w:val="26"/>
          <w:szCs w:val="26"/>
          <w:lang w:val="vi-VN"/>
        </w:rPr>
        <w:t xml:space="preserve"> kinh doanh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, NXB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kê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ại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kinh </w:t>
      </w:r>
      <w:proofErr w:type="spellStart"/>
      <w:r>
        <w:rPr>
          <w:rFonts w:ascii="Times New Roman" w:hAnsi="Times New Roman" w:cs="Times New Roman"/>
          <w:sz w:val="26"/>
          <w:szCs w:val="26"/>
          <w:lang w:val="vi-VN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TP HC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2B85CD08" w14:textId="77777777" w:rsidR="00381CB6" w:rsidRPr="00703E82" w:rsidRDefault="00381CB6" w:rsidP="00381CB6">
      <w:pPr>
        <w:pStyle w:val="oancuaDanhsac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proofErr w:type="spellStart"/>
      <w:r w:rsidRPr="00703E82">
        <w:rPr>
          <w:rFonts w:ascii="Times New Roman" w:hAnsi="Times New Roman" w:cs="Times New Roman"/>
          <w:color w:val="262626"/>
          <w:sz w:val="26"/>
          <w:szCs w:val="26"/>
        </w:rPr>
        <w:t>Nguyễn</w:t>
      </w:r>
      <w:proofErr w:type="spellEnd"/>
      <w:r w:rsidRPr="00703E82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color w:val="262626"/>
          <w:sz w:val="26"/>
          <w:szCs w:val="26"/>
        </w:rPr>
        <w:t>Năng</w:t>
      </w:r>
      <w:proofErr w:type="spellEnd"/>
      <w:r w:rsidRPr="00703E82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color w:val="262626"/>
          <w:sz w:val="26"/>
          <w:szCs w:val="26"/>
        </w:rPr>
        <w:t>Phúc</w:t>
      </w:r>
      <w:proofErr w:type="spellEnd"/>
      <w:r w:rsidRPr="00703E82">
        <w:rPr>
          <w:rFonts w:ascii="Times New Roman" w:hAnsi="Times New Roman" w:cs="Times New Roman"/>
          <w:color w:val="262626"/>
          <w:sz w:val="26"/>
          <w:szCs w:val="26"/>
        </w:rPr>
        <w:t xml:space="preserve"> (2009),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Phân</w:t>
      </w:r>
      <w:proofErr w:type="spellEnd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tích</w:t>
      </w:r>
      <w:proofErr w:type="spellEnd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Báo</w:t>
      </w:r>
      <w:proofErr w:type="spellEnd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cáo</w:t>
      </w:r>
      <w:proofErr w:type="spellEnd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tài</w:t>
      </w:r>
      <w:proofErr w:type="spellEnd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chính</w:t>
      </w:r>
      <w:proofErr w:type="spellEnd"/>
      <w:r w:rsidRPr="00703E82">
        <w:rPr>
          <w:rFonts w:ascii="Times New Roman" w:hAnsi="Times New Roman" w:cs="Times New Roman"/>
          <w:color w:val="262626"/>
          <w:sz w:val="26"/>
          <w:szCs w:val="26"/>
        </w:rPr>
        <w:t xml:space="preserve">, NXB </w:t>
      </w:r>
      <w:proofErr w:type="spellStart"/>
      <w:r w:rsidRPr="00703E82">
        <w:rPr>
          <w:rFonts w:ascii="Times New Roman" w:hAnsi="Times New Roman" w:cs="Times New Roman"/>
          <w:color w:val="262626"/>
          <w:sz w:val="26"/>
          <w:szCs w:val="26"/>
        </w:rPr>
        <w:t>Thống</w:t>
      </w:r>
      <w:proofErr w:type="spellEnd"/>
      <w:r w:rsidRPr="00703E82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color w:val="262626"/>
          <w:sz w:val="26"/>
          <w:szCs w:val="26"/>
        </w:rPr>
        <w:t>Kê</w:t>
      </w:r>
      <w:proofErr w:type="spellEnd"/>
    </w:p>
    <w:p w14:paraId="47176514" w14:textId="77777777" w:rsidR="00381CB6" w:rsidRPr="00703E82" w:rsidRDefault="00381CB6" w:rsidP="00381CB6">
      <w:pPr>
        <w:pStyle w:val="oancuaDanhsac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03E82">
        <w:rPr>
          <w:rFonts w:ascii="Times New Roman" w:hAnsi="Times New Roman" w:cs="Times New Roman"/>
          <w:color w:val="262626"/>
          <w:sz w:val="26"/>
          <w:szCs w:val="26"/>
        </w:rPr>
        <w:t xml:space="preserve">Phan </w:t>
      </w:r>
      <w:proofErr w:type="spellStart"/>
      <w:r w:rsidRPr="00703E82">
        <w:rPr>
          <w:rFonts w:ascii="Times New Roman" w:hAnsi="Times New Roman" w:cs="Times New Roman"/>
          <w:color w:val="262626"/>
          <w:sz w:val="26"/>
          <w:szCs w:val="26"/>
        </w:rPr>
        <w:t>Đức</w:t>
      </w:r>
      <w:proofErr w:type="spellEnd"/>
      <w:r w:rsidRPr="00703E82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color w:val="262626"/>
          <w:sz w:val="26"/>
          <w:szCs w:val="26"/>
        </w:rPr>
        <w:t>Dũng</w:t>
      </w:r>
      <w:proofErr w:type="spellEnd"/>
      <w:r w:rsidRPr="00703E82">
        <w:rPr>
          <w:rFonts w:ascii="Times New Roman" w:hAnsi="Times New Roman" w:cs="Times New Roman"/>
          <w:color w:val="262626"/>
          <w:sz w:val="26"/>
          <w:szCs w:val="26"/>
        </w:rPr>
        <w:t xml:space="preserve"> (2010),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Phân</w:t>
      </w:r>
      <w:proofErr w:type="spellEnd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tích</w:t>
      </w:r>
      <w:proofErr w:type="spellEnd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Hoạt</w:t>
      </w:r>
      <w:proofErr w:type="spellEnd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động</w:t>
      </w:r>
      <w:proofErr w:type="spellEnd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kinh</w:t>
      </w:r>
      <w:proofErr w:type="spellEnd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i/>
          <w:iCs/>
          <w:color w:val="262626"/>
          <w:sz w:val="26"/>
          <w:szCs w:val="26"/>
        </w:rPr>
        <w:t>doanh</w:t>
      </w:r>
      <w:proofErr w:type="spellEnd"/>
      <w:r w:rsidRPr="00703E82">
        <w:rPr>
          <w:rFonts w:ascii="Times New Roman" w:hAnsi="Times New Roman" w:cs="Times New Roman"/>
          <w:color w:val="262626"/>
          <w:sz w:val="26"/>
          <w:szCs w:val="26"/>
        </w:rPr>
        <w:t xml:space="preserve">, NXB </w:t>
      </w:r>
      <w:proofErr w:type="spellStart"/>
      <w:r w:rsidRPr="00703E82">
        <w:rPr>
          <w:rFonts w:ascii="Times New Roman" w:hAnsi="Times New Roman" w:cs="Times New Roman"/>
          <w:color w:val="262626"/>
          <w:sz w:val="26"/>
          <w:szCs w:val="26"/>
        </w:rPr>
        <w:t>tài</w:t>
      </w:r>
      <w:proofErr w:type="spellEnd"/>
      <w:r w:rsidRPr="00703E82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proofErr w:type="spellStart"/>
      <w:r w:rsidRPr="00703E82">
        <w:rPr>
          <w:rFonts w:ascii="Times New Roman" w:hAnsi="Times New Roman" w:cs="Times New Roman"/>
          <w:color w:val="262626"/>
          <w:sz w:val="26"/>
          <w:szCs w:val="26"/>
        </w:rPr>
        <w:t>chính</w:t>
      </w:r>
      <w:proofErr w:type="spellEnd"/>
    </w:p>
    <w:p w14:paraId="3FBD7890" w14:textId="77777777" w:rsidR="00381CB6" w:rsidRPr="005F6441" w:rsidRDefault="00381CB6" w:rsidP="00B560E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81CB6" w:rsidRPr="005F6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B2B21"/>
    <w:multiLevelType w:val="hybridMultilevel"/>
    <w:tmpl w:val="2CB43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7D19"/>
    <w:multiLevelType w:val="hybridMultilevel"/>
    <w:tmpl w:val="E7705CD0"/>
    <w:lvl w:ilvl="0" w:tplc="C9C665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C5ACA"/>
    <w:multiLevelType w:val="hybridMultilevel"/>
    <w:tmpl w:val="EE9C5614"/>
    <w:lvl w:ilvl="0" w:tplc="FD146EA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766DE"/>
    <w:multiLevelType w:val="hybridMultilevel"/>
    <w:tmpl w:val="B5225B4C"/>
    <w:lvl w:ilvl="0" w:tplc="1FF8B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90C17"/>
    <w:multiLevelType w:val="hybridMultilevel"/>
    <w:tmpl w:val="C9BCD9DC"/>
    <w:lvl w:ilvl="0" w:tplc="049E5B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53216"/>
    <w:multiLevelType w:val="hybridMultilevel"/>
    <w:tmpl w:val="748A4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DA"/>
    <w:rsid w:val="00012F2A"/>
    <w:rsid w:val="001278A2"/>
    <w:rsid w:val="0020604C"/>
    <w:rsid w:val="00381CB6"/>
    <w:rsid w:val="005F6441"/>
    <w:rsid w:val="006454FD"/>
    <w:rsid w:val="006F4DC3"/>
    <w:rsid w:val="00706AF9"/>
    <w:rsid w:val="00714DD1"/>
    <w:rsid w:val="007A2B10"/>
    <w:rsid w:val="00A20F0B"/>
    <w:rsid w:val="00AF7275"/>
    <w:rsid w:val="00B560E9"/>
    <w:rsid w:val="00C472D4"/>
    <w:rsid w:val="00D21969"/>
    <w:rsid w:val="00DA0E37"/>
    <w:rsid w:val="00E40CBA"/>
    <w:rsid w:val="00F30BE8"/>
    <w:rsid w:val="00F459DA"/>
    <w:rsid w:val="00F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6F099"/>
  <w15:chartTrackingRefBased/>
  <w15:docId w15:val="{53EC264D-1A8B-40C8-B955-50A8AB28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A2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E40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2020-10-01T01:47:00Z</dcterms:created>
  <dcterms:modified xsi:type="dcterms:W3CDTF">2020-10-06T14:16:00Z</dcterms:modified>
</cp:coreProperties>
</file>