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81" w:rsidRPr="00F10460" w:rsidRDefault="006D3381" w:rsidP="00F10460">
      <w:pPr>
        <w:spacing w:line="312" w:lineRule="auto"/>
        <w:jc w:val="center"/>
        <w:rPr>
          <w:b/>
          <w:sz w:val="26"/>
          <w:szCs w:val="26"/>
        </w:rPr>
      </w:pPr>
      <w:r w:rsidRPr="00F10460">
        <w:rPr>
          <w:b/>
          <w:sz w:val="26"/>
          <w:szCs w:val="26"/>
        </w:rPr>
        <w:t xml:space="preserve">ÁP DỤNG KẾ TOÁN QUẢN TRỊ CHIẾN </w:t>
      </w:r>
      <w:proofErr w:type="gramStart"/>
      <w:r w:rsidRPr="00F10460">
        <w:rPr>
          <w:b/>
          <w:sz w:val="26"/>
          <w:szCs w:val="26"/>
        </w:rPr>
        <w:t>LƯỢC  ĐỐI</w:t>
      </w:r>
      <w:proofErr w:type="gramEnd"/>
      <w:r w:rsidRPr="00F10460">
        <w:rPr>
          <w:b/>
          <w:sz w:val="26"/>
          <w:szCs w:val="26"/>
        </w:rPr>
        <w:t xml:space="preserve"> VỚI CÁC CÔNG VIỆC ĐÁNH GIÁ ĐẦU TƯ CỦA KẾ TOÁN QUẢN TRỊ</w:t>
      </w:r>
    </w:p>
    <w:p w:rsidR="006D3381" w:rsidRPr="006D3381" w:rsidRDefault="00F10460" w:rsidP="00F10460">
      <w:pPr>
        <w:spacing w:line="312" w:lineRule="auto"/>
        <w:jc w:val="both"/>
        <w:rPr>
          <w:b/>
          <w:sz w:val="26"/>
          <w:szCs w:val="26"/>
        </w:rPr>
      </w:pPr>
      <w:r>
        <w:rPr>
          <w:b/>
          <w:sz w:val="26"/>
          <w:szCs w:val="26"/>
        </w:rPr>
        <w:t xml:space="preserve">                                                                                  Nguyễn Thị Hồng Sương</w:t>
      </w:r>
    </w:p>
    <w:p w:rsidR="00F10460" w:rsidRPr="00F10460" w:rsidRDefault="00F10460" w:rsidP="00F10460">
      <w:pPr>
        <w:spacing w:line="312" w:lineRule="auto"/>
        <w:jc w:val="both"/>
        <w:rPr>
          <w:i/>
          <w:color w:val="242021"/>
          <w:sz w:val="26"/>
          <w:szCs w:val="26"/>
        </w:rPr>
      </w:pPr>
      <w:r w:rsidRPr="00F10460">
        <w:rPr>
          <w:color w:val="242021"/>
          <w:sz w:val="26"/>
          <w:szCs w:val="26"/>
        </w:rPr>
        <w:t xml:space="preserve">        </w:t>
      </w:r>
      <w:r w:rsidRPr="00F10460">
        <w:rPr>
          <w:i/>
          <w:color w:val="242021"/>
          <w:sz w:val="26"/>
          <w:szCs w:val="26"/>
        </w:rPr>
        <w:t>Việc xác định các chiến lược có thể tối đa hóa giá trị thuần hiện tại của tổ chức, sự phân bố các nguồn vốn khan hiếm cho các dự án trong số các cơ hội cạnh tranh và giám sát chiến lược được chọn để đạt được các mục tiêu đặt ra.  Áp dụng chiến lược tài chính đặc biệt đánh giá đầu tư trong công việc kế toán quản trị đóng vai trò rất quan trọng, bài viết phân tích trên các khía cạnh sau:</w:t>
      </w:r>
    </w:p>
    <w:p w:rsidR="006D3381" w:rsidRPr="009D6BAB" w:rsidRDefault="006D3381" w:rsidP="00F10460">
      <w:pPr>
        <w:pStyle w:val="Heading3"/>
        <w:shd w:val="clear" w:color="auto" w:fill="FFFFFF"/>
        <w:spacing w:before="0" w:line="312" w:lineRule="auto"/>
        <w:jc w:val="both"/>
        <w:rPr>
          <w:rFonts w:ascii="Times New Roman" w:hAnsi="Times New Roman"/>
          <w:bCs w:val="0"/>
          <w:color w:val="000000"/>
          <w:sz w:val="26"/>
          <w:szCs w:val="26"/>
        </w:rPr>
      </w:pPr>
      <w:r w:rsidRPr="009D6BAB">
        <w:rPr>
          <w:rFonts w:ascii="Times New Roman" w:hAnsi="Times New Roman"/>
          <w:bCs w:val="0"/>
          <w:color w:val="000000"/>
          <w:sz w:val="26"/>
          <w:szCs w:val="26"/>
        </w:rPr>
        <w:t>Nguyên tắc thứ nhất, sự gi</w:t>
      </w:r>
      <w:r w:rsidR="00EB1910">
        <w:rPr>
          <w:rFonts w:ascii="Times New Roman" w:hAnsi="Times New Roman"/>
          <w:bCs w:val="0"/>
          <w:color w:val="000000"/>
          <w:sz w:val="26"/>
          <w:szCs w:val="26"/>
        </w:rPr>
        <w:t xml:space="preserve">ao tiếp truyền đạt tầm nhìn có </w:t>
      </w:r>
      <w:r w:rsidRPr="009D6BAB">
        <w:rPr>
          <w:rFonts w:ascii="Times New Roman" w:hAnsi="Times New Roman"/>
          <w:bCs w:val="0"/>
          <w:color w:val="000000"/>
          <w:sz w:val="26"/>
          <w:szCs w:val="26"/>
        </w:rPr>
        <w:t>ảnh hưởng</w:t>
      </w:r>
    </w:p>
    <w:p w:rsidR="006D3381" w:rsidRPr="0079110A" w:rsidRDefault="006D3381" w:rsidP="00F10460">
      <w:pPr>
        <w:pStyle w:val="para"/>
        <w:shd w:val="clear" w:color="auto" w:fill="FFFFFF"/>
        <w:spacing w:before="0" w:beforeAutospacing="0" w:after="0" w:afterAutospacing="0" w:line="312" w:lineRule="auto"/>
        <w:ind w:firstLine="720"/>
        <w:jc w:val="both"/>
        <w:rPr>
          <w:sz w:val="26"/>
          <w:szCs w:val="26"/>
        </w:rPr>
      </w:pPr>
      <w:r w:rsidRPr="004441B1">
        <w:rPr>
          <w:sz w:val="26"/>
          <w:szCs w:val="26"/>
        </w:rPr>
        <w:t xml:space="preserve">Một dự </w:t>
      </w:r>
      <w:proofErr w:type="gramStart"/>
      <w:r w:rsidRPr="004441B1">
        <w:rPr>
          <w:sz w:val="26"/>
          <w:szCs w:val="26"/>
        </w:rPr>
        <w:t>án</w:t>
      </w:r>
      <w:proofErr w:type="gramEnd"/>
      <w:r w:rsidRPr="004441B1">
        <w:rPr>
          <w:sz w:val="26"/>
          <w:szCs w:val="26"/>
        </w:rPr>
        <w:t xml:space="preserve"> có được đầu tư hay không thì phải được xem xét trên khía cạnh tài chính và kinh tế xã hội. Dựa vào việc đánh giá hiệu quả tài chính - kinh tế thông </w:t>
      </w:r>
      <w:proofErr w:type="gramStart"/>
      <w:r w:rsidRPr="004441B1">
        <w:rPr>
          <w:sz w:val="26"/>
          <w:szCs w:val="26"/>
        </w:rPr>
        <w:t xml:space="preserve">qua </w:t>
      </w:r>
      <w:r>
        <w:rPr>
          <w:sz w:val="26"/>
          <w:szCs w:val="26"/>
        </w:rPr>
        <w:t xml:space="preserve"> s</w:t>
      </w:r>
      <w:r w:rsidRPr="004441B1">
        <w:rPr>
          <w:sz w:val="26"/>
          <w:szCs w:val="26"/>
        </w:rPr>
        <w:t>ử</w:t>
      </w:r>
      <w:proofErr w:type="gramEnd"/>
      <w:r w:rsidRPr="004441B1">
        <w:rPr>
          <w:sz w:val="26"/>
          <w:szCs w:val="26"/>
        </w:rPr>
        <w:t xml:space="preserve"> dụng các công cụ phân tích tài chính, chúng ta xác định được quy mô đầu tư, cơ cấu các loại vốn, cơ cấu các nguồn tài trợ cho dự án, tính toán thu chi, lỗ lãi và những lợi ích thiết thực mang lại cho nhà đầu tư là  cơ sở quan trọng để chủ đầu tư xem xét trước khi ra quyết định đầu tư. </w:t>
      </w:r>
      <w:r>
        <w:rPr>
          <w:sz w:val="26"/>
          <w:szCs w:val="26"/>
        </w:rPr>
        <w:t xml:space="preserve">Bằng cách </w:t>
      </w:r>
      <w:r w:rsidRPr="004441B1">
        <w:rPr>
          <w:sz w:val="26"/>
          <w:szCs w:val="26"/>
        </w:rPr>
        <w:t xml:space="preserve">trình bày kết quả của các tính </w:t>
      </w:r>
      <w:proofErr w:type="gramStart"/>
      <w:r w:rsidRPr="004441B1">
        <w:rPr>
          <w:sz w:val="26"/>
          <w:szCs w:val="26"/>
        </w:rPr>
        <w:t>toán  theo</w:t>
      </w:r>
      <w:proofErr w:type="gramEnd"/>
      <w:r w:rsidRPr="004441B1">
        <w:rPr>
          <w:sz w:val="26"/>
          <w:szCs w:val="26"/>
        </w:rPr>
        <w:t xml:space="preserve"> một hình thức đơn giản và minh bạch</w:t>
      </w:r>
      <w:r>
        <w:rPr>
          <w:sz w:val="26"/>
          <w:szCs w:val="26"/>
        </w:rPr>
        <w:t xml:space="preserve">, doanh nghiệp sẽ có căn cứ và thông tin để lựa chọn phương án đầu tư. </w:t>
      </w:r>
      <w:proofErr w:type="gramStart"/>
      <w:r>
        <w:rPr>
          <w:sz w:val="26"/>
          <w:szCs w:val="26"/>
        </w:rPr>
        <w:t>Bên cạnh đó m</w:t>
      </w:r>
      <w:r w:rsidRPr="0079110A">
        <w:rPr>
          <w:sz w:val="26"/>
          <w:szCs w:val="26"/>
        </w:rPr>
        <w:t>ục tiêu của doanh nghiệp thường hướng đến một số vấn đề như tối đa hoá lợi nhuận, tối thiểu về chi phí, duy trì sự tồn tại của doanh nghiệp và phát triển bền vững.</w:t>
      </w:r>
      <w:proofErr w:type="gramEnd"/>
      <w:r w:rsidRPr="0079110A">
        <w:rPr>
          <w:sz w:val="26"/>
          <w:szCs w:val="26"/>
        </w:rPr>
        <w:t xml:space="preserve"> </w:t>
      </w:r>
      <w:proofErr w:type="gramStart"/>
      <w:r w:rsidRPr="0079110A">
        <w:rPr>
          <w:sz w:val="26"/>
          <w:szCs w:val="26"/>
        </w:rPr>
        <w:t>Các mục tiêu xã hội thông thường có tính chất rộng lớn hơn về quy mô ảnh hưởng của phương án.</w:t>
      </w:r>
      <w:proofErr w:type="gramEnd"/>
    </w:p>
    <w:p w:rsidR="006D3381" w:rsidRPr="00306748" w:rsidRDefault="006D3381" w:rsidP="00F10460">
      <w:pPr>
        <w:autoSpaceDE w:val="0"/>
        <w:autoSpaceDN w:val="0"/>
        <w:adjustRightInd w:val="0"/>
        <w:spacing w:line="312" w:lineRule="auto"/>
        <w:ind w:firstLine="720"/>
        <w:jc w:val="both"/>
        <w:rPr>
          <w:rFonts w:eastAsia="Times New Roman"/>
          <w:sz w:val="26"/>
          <w:szCs w:val="26"/>
        </w:rPr>
      </w:pPr>
      <w:r w:rsidRPr="00013DB5">
        <w:rPr>
          <w:rFonts w:eastAsia="Times New Roman"/>
          <w:sz w:val="26"/>
          <w:szCs w:val="26"/>
        </w:rPr>
        <w:t xml:space="preserve">Khi đã có mục tiêu rõ ràng, nhà quản trị sẽ thiết lập các tiêu chuẩn hiệu quả để ra quyết định chọn lựa phương </w:t>
      </w:r>
      <w:proofErr w:type="gramStart"/>
      <w:r w:rsidRPr="00013DB5">
        <w:rPr>
          <w:rFonts w:eastAsia="Times New Roman"/>
          <w:sz w:val="26"/>
          <w:szCs w:val="26"/>
        </w:rPr>
        <w:t>án</w:t>
      </w:r>
      <w:proofErr w:type="gramEnd"/>
      <w:r w:rsidRPr="00013DB5">
        <w:rPr>
          <w:rFonts w:eastAsia="Times New Roman"/>
          <w:sz w:val="26"/>
          <w:szCs w:val="26"/>
        </w:rPr>
        <w:t xml:space="preserve"> đầu tư. Quyết định chọn lựa những phương </w:t>
      </w:r>
      <w:proofErr w:type="gramStart"/>
      <w:r w:rsidRPr="00013DB5">
        <w:rPr>
          <w:rFonts w:eastAsia="Times New Roman"/>
          <w:sz w:val="26"/>
          <w:szCs w:val="26"/>
        </w:rPr>
        <w:t>án</w:t>
      </w:r>
      <w:proofErr w:type="gramEnd"/>
      <w:r w:rsidRPr="00013DB5">
        <w:rPr>
          <w:rFonts w:eastAsia="Times New Roman"/>
          <w:sz w:val="26"/>
          <w:szCs w:val="26"/>
        </w:rPr>
        <w:t xml:space="preserve"> thường tồn tại dưới hai hình thức: một là đề xuất đưa ra các đề xuất về thứ tự ưu tiên cho các dự án đầu tư loại trừ lẫn nhau hai là xác đinh đối tượng của việc phân chia vốn trong một thời kỳ cho phù hợp.</w:t>
      </w:r>
    </w:p>
    <w:p w:rsidR="006D3381" w:rsidRPr="009D6BAB" w:rsidRDefault="006D3381" w:rsidP="00F10460">
      <w:pPr>
        <w:pStyle w:val="Heading3"/>
        <w:shd w:val="clear" w:color="auto" w:fill="FFFFFF"/>
        <w:spacing w:before="0" w:line="312" w:lineRule="auto"/>
        <w:jc w:val="both"/>
        <w:rPr>
          <w:rFonts w:ascii="Times New Roman" w:hAnsi="Times New Roman"/>
          <w:bCs w:val="0"/>
          <w:color w:val="000000"/>
          <w:sz w:val="26"/>
          <w:szCs w:val="26"/>
        </w:rPr>
      </w:pPr>
      <w:r w:rsidRPr="009D6BAB">
        <w:rPr>
          <w:rFonts w:ascii="Times New Roman" w:hAnsi="Times New Roman"/>
          <w:bCs w:val="0"/>
          <w:color w:val="000000"/>
          <w:sz w:val="26"/>
          <w:szCs w:val="26"/>
        </w:rPr>
        <w:t>Nguyên tắc thứ hai, thông tin thích hợp</w:t>
      </w:r>
    </w:p>
    <w:p w:rsidR="00F10460" w:rsidRDefault="006D3381" w:rsidP="00F10460">
      <w:pPr>
        <w:autoSpaceDE w:val="0"/>
        <w:autoSpaceDN w:val="0"/>
        <w:adjustRightInd w:val="0"/>
        <w:spacing w:line="312" w:lineRule="auto"/>
        <w:ind w:firstLine="720"/>
        <w:jc w:val="both"/>
        <w:rPr>
          <w:sz w:val="26"/>
          <w:szCs w:val="26"/>
          <w:shd w:val="clear" w:color="auto" w:fill="FFFFFF"/>
        </w:rPr>
      </w:pPr>
      <w:r w:rsidRPr="00C53654">
        <w:rPr>
          <w:sz w:val="26"/>
          <w:szCs w:val="26"/>
          <w:shd w:val="clear" w:color="auto" w:fill="FFFFFF"/>
        </w:rPr>
        <w:t xml:space="preserve">Thông tin được xem là thích hợp cho việc ra quyết định là những thông tin sẽ chịu ảnh hưởng bởi quyết định đưa ra. </w:t>
      </w:r>
      <w:r w:rsidRPr="009D6BAB">
        <w:rPr>
          <w:color w:val="000000"/>
          <w:sz w:val="26"/>
          <w:szCs w:val="26"/>
        </w:rPr>
        <w:t xml:space="preserve">Các đánh giá đầu tư dựa trên việc phân </w:t>
      </w:r>
      <w:proofErr w:type="gramStart"/>
      <w:r w:rsidRPr="009D6BAB">
        <w:rPr>
          <w:color w:val="000000"/>
          <w:sz w:val="26"/>
          <w:szCs w:val="26"/>
        </w:rPr>
        <w:t>tích  hợp</w:t>
      </w:r>
      <w:proofErr w:type="gramEnd"/>
      <w:r w:rsidRPr="009D6BAB">
        <w:rPr>
          <w:color w:val="000000"/>
          <w:sz w:val="26"/>
          <w:szCs w:val="26"/>
        </w:rPr>
        <w:t xml:space="preserve"> lý các thông tin đến từ nội bộ và bên ngoài doanh nghiệp, cũng như các thông tin liên quan đến tài chính và phi tài chính.</w:t>
      </w:r>
      <w:r w:rsidRPr="007A6FB2">
        <w:rPr>
          <w:color w:val="000000"/>
          <w:sz w:val="26"/>
          <w:szCs w:val="26"/>
        </w:rPr>
        <w:t xml:space="preserve"> Bằng việc tính toán và phân tích tính khả thi về kỹ thuật, thương mại, tài chính và hoạt động của dự án thông qua việc sử </w:t>
      </w:r>
      <w:proofErr w:type="gramStart"/>
      <w:r w:rsidRPr="007A6FB2">
        <w:rPr>
          <w:color w:val="000000"/>
          <w:sz w:val="26"/>
          <w:szCs w:val="26"/>
        </w:rPr>
        <w:t>dụng  các</w:t>
      </w:r>
      <w:proofErr w:type="gramEnd"/>
      <w:r w:rsidRPr="007A6FB2">
        <w:rPr>
          <w:color w:val="000000"/>
          <w:sz w:val="26"/>
          <w:szCs w:val="26"/>
        </w:rPr>
        <w:t xml:space="preserve"> phương pháp giá trị hiện tại thuần, tỷ suất hoàn vốn nội bộ, thời gian hoàn vốn và thu nhập trên vốn đầu tư cùng với việc cân nhắc các giải pháp về nguồn lực, </w:t>
      </w:r>
      <w:r w:rsidRPr="008D7E52">
        <w:rPr>
          <w:sz w:val="26"/>
          <w:szCs w:val="26"/>
          <w:shd w:val="clear" w:color="auto" w:fill="FFFFFF"/>
        </w:rPr>
        <w:t xml:space="preserve">để có thể ứng biến với những </w:t>
      </w:r>
      <w:r w:rsidRPr="008D7E52">
        <w:rPr>
          <w:sz w:val="26"/>
          <w:szCs w:val="26"/>
          <w:shd w:val="clear" w:color="auto" w:fill="FFFFFF"/>
        </w:rPr>
        <w:lastRenderedPageBreak/>
        <w:t>rủi ro trong đầu tư dài hạn.</w:t>
      </w:r>
    </w:p>
    <w:p w:rsidR="006D3381" w:rsidRPr="007A6FB2" w:rsidRDefault="006D3381" w:rsidP="00F10460">
      <w:pPr>
        <w:autoSpaceDE w:val="0"/>
        <w:autoSpaceDN w:val="0"/>
        <w:adjustRightInd w:val="0"/>
        <w:spacing w:line="312" w:lineRule="auto"/>
        <w:ind w:firstLine="720"/>
        <w:jc w:val="both"/>
        <w:rPr>
          <w:color w:val="000000"/>
          <w:sz w:val="26"/>
          <w:szCs w:val="26"/>
        </w:rPr>
      </w:pPr>
      <w:r w:rsidRPr="008D7E52">
        <w:rPr>
          <w:sz w:val="26"/>
          <w:szCs w:val="26"/>
          <w:shd w:val="clear" w:color="auto" w:fill="FFFFFF"/>
        </w:rPr>
        <w:t xml:space="preserve">Ngoài ra, doanh nghiệp cũng cần cân nhắc đến các giải pháp thay thế cho các quy trình truyền thống khi đánh giá các dự </w:t>
      </w:r>
      <w:proofErr w:type="gramStart"/>
      <w:r w:rsidRPr="008D7E52">
        <w:rPr>
          <w:sz w:val="26"/>
          <w:szCs w:val="26"/>
          <w:shd w:val="clear" w:color="auto" w:fill="FFFFFF"/>
        </w:rPr>
        <w:t>án</w:t>
      </w:r>
      <w:proofErr w:type="gramEnd"/>
      <w:r w:rsidRPr="008D7E52">
        <w:rPr>
          <w:sz w:val="26"/>
          <w:szCs w:val="26"/>
          <w:shd w:val="clear" w:color="auto" w:fill="FFFFFF"/>
        </w:rPr>
        <w:t xml:space="preserve"> mới</w:t>
      </w:r>
      <w:r w:rsidRPr="007A6FB2">
        <w:rPr>
          <w:color w:val="4A4A4A"/>
          <w:sz w:val="26"/>
          <w:szCs w:val="26"/>
          <w:shd w:val="clear" w:color="auto" w:fill="FFFFFF"/>
        </w:rPr>
        <w:t>.</w:t>
      </w:r>
      <w:r w:rsidRPr="007A6FB2">
        <w:rPr>
          <w:color w:val="000000"/>
          <w:sz w:val="26"/>
          <w:szCs w:val="26"/>
        </w:rPr>
        <w:t xml:space="preserve"> Điều này có thể bao gồm các quy trình duyệt </w:t>
      </w:r>
      <w:proofErr w:type="gramStart"/>
      <w:r w:rsidRPr="007A6FB2">
        <w:rPr>
          <w:color w:val="000000"/>
          <w:sz w:val="26"/>
          <w:szCs w:val="26"/>
        </w:rPr>
        <w:t>theo</w:t>
      </w:r>
      <w:proofErr w:type="gramEnd"/>
      <w:r w:rsidRPr="007A6FB2">
        <w:rPr>
          <w:color w:val="000000"/>
          <w:sz w:val="26"/>
          <w:szCs w:val="26"/>
        </w:rPr>
        <w:t xml:space="preserve"> từng giai đoạn, ngân sách riêng và các chiến lược quản lý danh mụ</w:t>
      </w:r>
      <w:r>
        <w:rPr>
          <w:color w:val="000000"/>
          <w:sz w:val="26"/>
          <w:szCs w:val="26"/>
        </w:rPr>
        <w:t xml:space="preserve">c. </w:t>
      </w:r>
      <w:r w:rsidRPr="007A6FB2">
        <w:rPr>
          <w:color w:val="000000"/>
          <w:sz w:val="26"/>
          <w:szCs w:val="26"/>
        </w:rPr>
        <w:t>Khi sử dụng đầu ra của bản đánh giá một dự án đầu tư tiềm năng cho các mục đích báo cáo tài chính, cần thiết phải tham khảo việc sử dụng các yếu tố chiết khấu và các giá trị hiện tại thuần trong Các chuẩn mực báo cáo tài chính quốc tế hoặc trong GAAP tại địa phương.</w:t>
      </w:r>
    </w:p>
    <w:p w:rsidR="006D3381" w:rsidRPr="009D6BAB" w:rsidRDefault="006D3381" w:rsidP="00F10460">
      <w:pPr>
        <w:pStyle w:val="Heading3"/>
        <w:shd w:val="clear" w:color="auto" w:fill="FFFFFF"/>
        <w:spacing w:before="0" w:line="312" w:lineRule="auto"/>
        <w:jc w:val="both"/>
        <w:rPr>
          <w:rFonts w:ascii="Times New Roman" w:hAnsi="Times New Roman"/>
          <w:bCs w:val="0"/>
          <w:color w:val="000000"/>
          <w:sz w:val="26"/>
          <w:szCs w:val="26"/>
        </w:rPr>
      </w:pPr>
      <w:r w:rsidRPr="009D6BAB">
        <w:rPr>
          <w:rFonts w:ascii="Times New Roman" w:hAnsi="Times New Roman"/>
          <w:bCs w:val="0"/>
          <w:color w:val="000000"/>
          <w:sz w:val="26"/>
          <w:szCs w:val="26"/>
        </w:rPr>
        <w:t>Thứ ba</w:t>
      </w:r>
      <w:proofErr w:type="gramStart"/>
      <w:r w:rsidRPr="009D6BAB">
        <w:rPr>
          <w:rFonts w:ascii="Times New Roman" w:hAnsi="Times New Roman"/>
          <w:bCs w:val="0"/>
          <w:color w:val="000000"/>
          <w:sz w:val="26"/>
          <w:szCs w:val="26"/>
        </w:rPr>
        <w:t>,  phân</w:t>
      </w:r>
      <w:proofErr w:type="gramEnd"/>
      <w:r w:rsidRPr="009D6BAB">
        <w:rPr>
          <w:rFonts w:ascii="Times New Roman" w:hAnsi="Times New Roman"/>
          <w:bCs w:val="0"/>
          <w:color w:val="000000"/>
          <w:sz w:val="26"/>
          <w:szCs w:val="26"/>
        </w:rPr>
        <w:t xml:space="preserve"> tích tác động đến giá trị</w:t>
      </w:r>
    </w:p>
    <w:p w:rsidR="00F10460" w:rsidRDefault="006D3381" w:rsidP="00F10460">
      <w:pPr>
        <w:autoSpaceDE w:val="0"/>
        <w:autoSpaceDN w:val="0"/>
        <w:adjustRightInd w:val="0"/>
        <w:spacing w:line="312" w:lineRule="auto"/>
        <w:ind w:firstLine="720"/>
        <w:jc w:val="both"/>
        <w:rPr>
          <w:sz w:val="26"/>
          <w:szCs w:val="26"/>
        </w:rPr>
      </w:pPr>
      <w:proofErr w:type="gramStart"/>
      <w:r w:rsidRPr="007B4BAE">
        <w:rPr>
          <w:sz w:val="26"/>
          <w:szCs w:val="26"/>
        </w:rPr>
        <w:t>Để ra quyết định đầu tư thì yêu cầu trước hết phải thiết lập một hoặc tập hợp các mục tiêu dài hạn định hướng cho việc ra quyết định.</w:t>
      </w:r>
      <w:proofErr w:type="gramEnd"/>
      <w:r w:rsidRPr="007B4BAE">
        <w:rPr>
          <w:sz w:val="26"/>
          <w:szCs w:val="26"/>
        </w:rPr>
        <w:t xml:space="preserve"> </w:t>
      </w:r>
      <w:proofErr w:type="gramStart"/>
      <w:r w:rsidRPr="007B4BAE">
        <w:rPr>
          <w:sz w:val="26"/>
          <w:szCs w:val="26"/>
        </w:rPr>
        <w:t>Tùy thuộc vào hoàn cảnh cụ thể, một doanh nghiệp có thể có những mục tiêu khác nhau.</w:t>
      </w:r>
      <w:proofErr w:type="gramEnd"/>
      <w:r w:rsidRPr="007B4BAE">
        <w:rPr>
          <w:sz w:val="26"/>
          <w:szCs w:val="26"/>
        </w:rPr>
        <w:t xml:space="preserve"> Mọi phương </w:t>
      </w:r>
      <w:proofErr w:type="gramStart"/>
      <w:r w:rsidRPr="007B4BAE">
        <w:rPr>
          <w:sz w:val="26"/>
          <w:szCs w:val="26"/>
        </w:rPr>
        <w:t>án</w:t>
      </w:r>
      <w:proofErr w:type="gramEnd"/>
      <w:r w:rsidRPr="007B4BAE">
        <w:rPr>
          <w:sz w:val="26"/>
          <w:szCs w:val="26"/>
        </w:rPr>
        <w:t xml:space="preserve"> đầu tư dài hạn đều liên quan đến chi phí và lợi nhuận. Đó là vốn, vật chất, nhân lực… và sản phẩm của phương </w:t>
      </w:r>
      <w:proofErr w:type="gramStart"/>
      <w:r w:rsidRPr="007B4BAE">
        <w:rPr>
          <w:sz w:val="26"/>
          <w:szCs w:val="26"/>
        </w:rPr>
        <w:t>án</w:t>
      </w:r>
      <w:proofErr w:type="gramEnd"/>
      <w:r w:rsidRPr="007B4BAE">
        <w:rPr>
          <w:sz w:val="26"/>
          <w:szCs w:val="26"/>
        </w:rPr>
        <w:t xml:space="preserve"> như các loại hàng hóa, dịch vụ. Để thuận lợi trong việc so sánh các phương </w:t>
      </w:r>
      <w:proofErr w:type="gramStart"/>
      <w:r w:rsidRPr="007B4BAE">
        <w:rPr>
          <w:sz w:val="26"/>
          <w:szCs w:val="26"/>
        </w:rPr>
        <w:t>án</w:t>
      </w:r>
      <w:proofErr w:type="gramEnd"/>
      <w:r w:rsidRPr="007B4BAE">
        <w:rPr>
          <w:sz w:val="26"/>
          <w:szCs w:val="26"/>
        </w:rPr>
        <w:t xml:space="preserve"> đầu tư, người ta thường lượng hóa bằng các giá trị qua các đơn vị tiền tệ. Dòng chi phí, </w:t>
      </w:r>
      <w:proofErr w:type="gramStart"/>
      <w:r w:rsidRPr="007B4BAE">
        <w:rPr>
          <w:sz w:val="26"/>
          <w:szCs w:val="26"/>
        </w:rPr>
        <w:t>thu</w:t>
      </w:r>
      <w:proofErr w:type="gramEnd"/>
      <w:r w:rsidRPr="007B4BAE">
        <w:rPr>
          <w:sz w:val="26"/>
          <w:szCs w:val="26"/>
        </w:rPr>
        <w:t xml:space="preserve"> nhập thường phát sinh ở những thời điểm khác nhau. </w:t>
      </w:r>
    </w:p>
    <w:p w:rsidR="006D3381" w:rsidRPr="00C53654" w:rsidRDefault="006D3381" w:rsidP="00F10460">
      <w:pPr>
        <w:autoSpaceDE w:val="0"/>
        <w:autoSpaceDN w:val="0"/>
        <w:adjustRightInd w:val="0"/>
        <w:spacing w:line="312" w:lineRule="auto"/>
        <w:ind w:firstLine="720"/>
        <w:jc w:val="both"/>
        <w:rPr>
          <w:color w:val="000000"/>
          <w:sz w:val="26"/>
          <w:szCs w:val="26"/>
        </w:rPr>
      </w:pPr>
      <w:r w:rsidRPr="007B4BAE">
        <w:rPr>
          <w:sz w:val="26"/>
          <w:szCs w:val="26"/>
        </w:rPr>
        <w:t xml:space="preserve">Do đó, khi so sánh đánh giá vốn đầu tư dài hạn, nhà đầu tư cần phải xem xét đến vấn đề giá trị </w:t>
      </w:r>
      <w:proofErr w:type="gramStart"/>
      <w:r w:rsidRPr="007B4BAE">
        <w:rPr>
          <w:sz w:val="26"/>
          <w:szCs w:val="26"/>
        </w:rPr>
        <w:t>theo</w:t>
      </w:r>
      <w:proofErr w:type="gramEnd"/>
      <w:r w:rsidRPr="007B4BAE">
        <w:rPr>
          <w:sz w:val="26"/>
          <w:szCs w:val="26"/>
        </w:rPr>
        <w:t xml:space="preserve"> thời gian của đồng tiền.</w:t>
      </w:r>
      <w:r w:rsidRPr="007B4BAE">
        <w:rPr>
          <w:color w:val="000000"/>
          <w:sz w:val="26"/>
          <w:szCs w:val="26"/>
        </w:rPr>
        <w:t xml:space="preserve"> Tính </w:t>
      </w:r>
      <w:proofErr w:type="gramStart"/>
      <w:r w:rsidRPr="007B4BAE">
        <w:rPr>
          <w:color w:val="000000"/>
          <w:sz w:val="26"/>
          <w:szCs w:val="26"/>
        </w:rPr>
        <w:t>toán  rủi</w:t>
      </w:r>
      <w:proofErr w:type="gramEnd"/>
      <w:r w:rsidRPr="007B4BAE">
        <w:rPr>
          <w:color w:val="000000"/>
          <w:sz w:val="26"/>
          <w:szCs w:val="26"/>
        </w:rPr>
        <w:t xml:space="preserve"> ro dựa trên việc phân tích độ nhạy cảm, nhận biết các dòng tiền có thể biến động lớn như thế nào trước khi vụ đầu tư không còn khả thi nữa. Chọn lựa lãi suất chiết khấu dựa trên cơ sở chi phí vố</w:t>
      </w:r>
      <w:r>
        <w:rPr>
          <w:color w:val="000000"/>
          <w:sz w:val="26"/>
          <w:szCs w:val="26"/>
        </w:rPr>
        <w:t xml:space="preserve">n </w:t>
      </w:r>
      <w:r w:rsidRPr="007B4BAE">
        <w:rPr>
          <w:color w:val="000000"/>
          <w:sz w:val="26"/>
          <w:szCs w:val="26"/>
        </w:rPr>
        <w:t xml:space="preserve">bình quân của tổ chức, cộng với yếu tố rủi ro có hệ thống áp dụng cho các dòng tiền trong tương lai, phụ thuộc vào bản chất của dự án đầu </w:t>
      </w:r>
      <w:proofErr w:type="gramStart"/>
      <w:r w:rsidRPr="007B4BAE">
        <w:rPr>
          <w:color w:val="000000"/>
          <w:sz w:val="26"/>
          <w:szCs w:val="26"/>
        </w:rPr>
        <w:t>tư</w:t>
      </w:r>
      <w:proofErr w:type="gramEnd"/>
      <w:r w:rsidRPr="007B4BAE">
        <w:rPr>
          <w:color w:val="000000"/>
          <w:sz w:val="26"/>
          <w:szCs w:val="26"/>
        </w:rPr>
        <w:t>.</w:t>
      </w:r>
    </w:p>
    <w:p w:rsidR="006D3381" w:rsidRPr="009D6BAB" w:rsidRDefault="006D3381" w:rsidP="00F10460">
      <w:pPr>
        <w:pStyle w:val="Heading3"/>
        <w:shd w:val="clear" w:color="auto" w:fill="FFFFFF"/>
        <w:spacing w:before="0" w:line="312" w:lineRule="auto"/>
        <w:jc w:val="both"/>
        <w:rPr>
          <w:rFonts w:ascii="Times New Roman" w:hAnsi="Times New Roman"/>
          <w:bCs w:val="0"/>
          <w:color w:val="000000"/>
          <w:sz w:val="26"/>
          <w:szCs w:val="26"/>
        </w:rPr>
      </w:pPr>
      <w:r w:rsidRPr="009D6BAB">
        <w:rPr>
          <w:rFonts w:ascii="Times New Roman" w:hAnsi="Times New Roman"/>
          <w:bCs w:val="0"/>
          <w:color w:val="000000"/>
          <w:sz w:val="26"/>
          <w:szCs w:val="26"/>
        </w:rPr>
        <w:t>Thứ tư, giá trị tạo lập niềm tin</w:t>
      </w:r>
    </w:p>
    <w:p w:rsidR="006D3381" w:rsidRPr="00514AA1" w:rsidRDefault="006D3381" w:rsidP="00F10460">
      <w:pPr>
        <w:autoSpaceDE w:val="0"/>
        <w:autoSpaceDN w:val="0"/>
        <w:adjustRightInd w:val="0"/>
        <w:spacing w:line="312" w:lineRule="auto"/>
        <w:ind w:firstLine="720"/>
        <w:jc w:val="both"/>
        <w:rPr>
          <w:color w:val="000000"/>
          <w:sz w:val="26"/>
          <w:szCs w:val="26"/>
        </w:rPr>
      </w:pPr>
      <w:r w:rsidRPr="00514AA1">
        <w:rPr>
          <w:color w:val="000000"/>
          <w:sz w:val="26"/>
          <w:szCs w:val="26"/>
        </w:rPr>
        <w:t>Doanh nghiệp cần cân nhắc về thông tin phi tài chính như:  thị trường đầu vào, đối thủ cạnh tranh</w:t>
      </w:r>
      <w:proofErr w:type="gramStart"/>
      <w:r w:rsidRPr="00514AA1">
        <w:rPr>
          <w:color w:val="000000"/>
          <w:sz w:val="26"/>
          <w:szCs w:val="26"/>
        </w:rPr>
        <w:t>,…</w:t>
      </w:r>
      <w:proofErr w:type="gramEnd"/>
      <w:r w:rsidRPr="00514AA1">
        <w:rPr>
          <w:color w:val="000000"/>
          <w:sz w:val="26"/>
          <w:szCs w:val="26"/>
        </w:rPr>
        <w:t xml:space="preserve"> để hình thành việ</w:t>
      </w:r>
      <w:r>
        <w:rPr>
          <w:color w:val="000000"/>
          <w:sz w:val="26"/>
          <w:szCs w:val="26"/>
        </w:rPr>
        <w:t>c phâ</w:t>
      </w:r>
      <w:r w:rsidRPr="00514AA1">
        <w:rPr>
          <w:color w:val="000000"/>
          <w:sz w:val="26"/>
          <w:szCs w:val="26"/>
        </w:rPr>
        <w:t xml:space="preserve">n tích lợi –ích chi phí một cách toàn diện  của các quyết định đầu tư. Đặc biệt là các doanh nghiệp hoạt động trong lĩnh vực phi tài </w:t>
      </w:r>
      <w:proofErr w:type="gramStart"/>
      <w:r w:rsidRPr="00514AA1">
        <w:rPr>
          <w:color w:val="000000"/>
          <w:sz w:val="26"/>
          <w:szCs w:val="26"/>
        </w:rPr>
        <w:t>chính ,</w:t>
      </w:r>
      <w:proofErr w:type="gramEnd"/>
      <w:r w:rsidRPr="00514AA1">
        <w:rPr>
          <w:color w:val="000000"/>
          <w:sz w:val="26"/>
          <w:szCs w:val="26"/>
        </w:rPr>
        <w:t xml:space="preserve"> một quyết định có giá trị hiện tại thuần của phương án là một số âm nhưng vẫn được đầu tư vì tác động của nó đến lợi ích của xã hội. </w:t>
      </w:r>
      <w:proofErr w:type="gramStart"/>
      <w:r w:rsidRPr="00514AA1">
        <w:rPr>
          <w:color w:val="000000"/>
          <w:sz w:val="26"/>
          <w:szCs w:val="26"/>
        </w:rPr>
        <w:t>Sau quá trình đầu tư, doanh nghiệp sẽ tiến hành các cuộc hậu kiểm và đánh giá về các lợi ích thực tế được hiện thực hóa so với giá trị dự tính.</w:t>
      </w:r>
      <w:proofErr w:type="gramEnd"/>
    </w:p>
    <w:p w:rsidR="006D3381" w:rsidRDefault="006D3381" w:rsidP="00F10460">
      <w:pPr>
        <w:pStyle w:val="Heading2"/>
        <w:shd w:val="clear" w:color="auto" w:fill="FFFFFF"/>
        <w:spacing w:before="0" w:beforeAutospacing="0" w:after="0" w:afterAutospacing="0" w:line="312" w:lineRule="auto"/>
        <w:jc w:val="both"/>
        <w:rPr>
          <w:b w:val="0"/>
          <w:bCs w:val="0"/>
          <w:iCs/>
        </w:rPr>
      </w:pPr>
      <w:r w:rsidRPr="005F5E2B">
        <w:rPr>
          <w:b w:val="0"/>
          <w:bCs w:val="0"/>
          <w:iCs/>
          <w:sz w:val="26"/>
          <w:szCs w:val="26"/>
        </w:rPr>
        <w:t> Quá trình ứng dụng kế toán quản trị chiến lược đối với quyết định liên quan hoạt động đánh giá đầu tư thông qua tình huống của Công ty cổ phần Đầu Tư Thành Phát</w:t>
      </w:r>
      <w:r>
        <w:rPr>
          <w:b w:val="0"/>
          <w:bCs w:val="0"/>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Tên khách hàng (đầy đủ và viết tắt)</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 xml:space="preserve">CÔNG TY CỔ PHẦN ĐẦU TƯ THÀNH </w:t>
            </w:r>
            <w:r w:rsidRPr="009D6BAB">
              <w:rPr>
                <w:sz w:val="26"/>
                <w:szCs w:val="26"/>
              </w:rPr>
              <w:lastRenderedPageBreak/>
              <w:t>PHÁT</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lastRenderedPageBreak/>
              <w:t>Địa chỉ đăng ký kinh doanh</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202 Đống Đa, Quận Hải Châu, TP Đà Nẵng</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Điện thoại</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0236.540656</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Fax</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0236.540656</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Địa điểm nơi sản xuất kinh doanh</w:t>
            </w:r>
          </w:p>
        </w:tc>
        <w:tc>
          <w:tcPr>
            <w:tcW w:w="2500" w:type="pct"/>
            <w:shd w:val="clear" w:color="auto" w:fill="auto"/>
          </w:tcPr>
          <w:p w:rsidR="006D3381" w:rsidRPr="009D6BAB" w:rsidRDefault="006D3381" w:rsidP="00F10460">
            <w:pPr>
              <w:spacing w:line="312" w:lineRule="auto"/>
              <w:jc w:val="both"/>
              <w:rPr>
                <w:sz w:val="26"/>
                <w:szCs w:val="26"/>
              </w:rPr>
            </w:pP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Loại hình doanh nghiệp</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Công ty cổ phần</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Vốn điều lệ</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30.660.000.000 đồng</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Trong đó vốn Nhà nước tham gia</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0</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Ngành nghề  kinh doanh hiện tại</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 xml:space="preserve">Khảo sát các công trình xâydựng, lập hồ sơ và thẩm tra các dự </w:t>
            </w:r>
            <w:proofErr w:type="gramStart"/>
            <w:r w:rsidRPr="009D6BAB">
              <w:rPr>
                <w:sz w:val="26"/>
                <w:szCs w:val="26"/>
              </w:rPr>
              <w:t>án</w:t>
            </w:r>
            <w:proofErr w:type="gramEnd"/>
            <w:r w:rsidRPr="009D6BAB">
              <w:rPr>
                <w:sz w:val="26"/>
                <w:szCs w:val="26"/>
              </w:rPr>
              <w:t xml:space="preserve"> đầu tư xây dựng, khu dân cư, thiết kế công trình xây dựng. Quản lý điều hành dự án. Kinh doanh du lịch lâm thuỷ hải sản, vận tải hàng hoá, mua bán, cho thuê đất.</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Sản phẩm, hàng hoá dịch vụ dự tính đầu tư</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Khai thác mỏ đá, mỏ than.</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Tên người đại diện theo pháp luật</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Trần Quang Minh</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Chức vụ</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Chủ tịch HĐQT kiêm Tổng GĐ</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CMND (Số, ngày, nơi cấp)</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201409553 ngày 27/03/2007 tại Công an thành phố Đà Nẵng</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Địa chỉ thường trú</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124 Quang Trung, Quận Hải Châu,TP Đà Nẵng</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Các chứng nhận và giải thưởng về chất lượng, môi trường… đã được cấp</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w:t>
            </w:r>
          </w:p>
        </w:tc>
      </w:tr>
      <w:tr w:rsidR="006D3381" w:rsidRPr="009565FA" w:rsidTr="001A6227">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Kiểm toán Báo cáo tài chính</w:t>
            </w:r>
          </w:p>
        </w:tc>
        <w:tc>
          <w:tcPr>
            <w:tcW w:w="2500" w:type="pct"/>
            <w:shd w:val="clear" w:color="auto" w:fill="auto"/>
          </w:tcPr>
          <w:p w:rsidR="006D3381" w:rsidRPr="009D6BAB" w:rsidRDefault="006D3381" w:rsidP="00F10460">
            <w:pPr>
              <w:spacing w:line="312" w:lineRule="auto"/>
              <w:jc w:val="both"/>
              <w:rPr>
                <w:sz w:val="26"/>
                <w:szCs w:val="26"/>
              </w:rPr>
            </w:pPr>
            <w:r w:rsidRPr="009D6BAB">
              <w:rPr>
                <w:sz w:val="26"/>
                <w:szCs w:val="26"/>
              </w:rPr>
              <w:t>-</w:t>
            </w:r>
          </w:p>
        </w:tc>
      </w:tr>
    </w:tbl>
    <w:p w:rsidR="006D3381" w:rsidRPr="00D66330" w:rsidRDefault="00F10460" w:rsidP="00F10460">
      <w:pPr>
        <w:pStyle w:val="ListParagraph"/>
        <w:numPr>
          <w:ilvl w:val="0"/>
          <w:numId w:val="1"/>
        </w:numPr>
        <w:spacing w:after="0" w:line="312" w:lineRule="auto"/>
        <w:jc w:val="both"/>
        <w:rPr>
          <w:rFonts w:ascii="Times New Roman" w:hAnsi="Times New Roman"/>
          <w:b/>
          <w:sz w:val="26"/>
          <w:szCs w:val="26"/>
        </w:rPr>
      </w:pPr>
      <w:r>
        <w:rPr>
          <w:rFonts w:ascii="Times New Roman" w:hAnsi="Times New Roman"/>
          <w:b/>
          <w:sz w:val="26"/>
          <w:szCs w:val="26"/>
        </w:rPr>
        <w:t>Đ</w:t>
      </w:r>
      <w:r w:rsidR="006D3381" w:rsidRPr="00D66330">
        <w:rPr>
          <w:rFonts w:ascii="Times New Roman" w:hAnsi="Times New Roman"/>
          <w:b/>
          <w:sz w:val="26"/>
          <w:szCs w:val="26"/>
        </w:rPr>
        <w:t>ối với sự truyền đạt thông tin</w:t>
      </w:r>
    </w:p>
    <w:p w:rsidR="006D3381" w:rsidRPr="0032659C" w:rsidRDefault="006D3381" w:rsidP="00F10460">
      <w:pPr>
        <w:spacing w:line="312" w:lineRule="auto"/>
        <w:ind w:left="45" w:firstLine="360"/>
        <w:jc w:val="both"/>
        <w:rPr>
          <w:sz w:val="26"/>
          <w:szCs w:val="26"/>
        </w:rPr>
      </w:pPr>
      <w:r w:rsidRPr="0032659C">
        <w:rPr>
          <w:sz w:val="26"/>
          <w:szCs w:val="26"/>
        </w:rPr>
        <w:t xml:space="preserve"> Thông qua việc phân tích các chỉ tiêu đánh giá hiệu quả tài chính - kinh tế thông </w:t>
      </w:r>
      <w:proofErr w:type="gramStart"/>
      <w:r w:rsidRPr="0032659C">
        <w:rPr>
          <w:sz w:val="26"/>
          <w:szCs w:val="26"/>
        </w:rPr>
        <w:t>qua  sử</w:t>
      </w:r>
      <w:proofErr w:type="gramEnd"/>
      <w:r w:rsidRPr="0032659C">
        <w:rPr>
          <w:sz w:val="26"/>
          <w:szCs w:val="26"/>
        </w:rPr>
        <w:t xml:space="preserve"> dụng các công cụ phân tích tài chính, chúng ta xác định được quy mô đầu tư, cơ cấu các loại vốn, cơ cấu các nguồn tài trợ cho dự án, tính toán thu chi, lỗ lãi. </w:t>
      </w:r>
    </w:p>
    <w:p w:rsidR="006D3381" w:rsidRPr="006B499B" w:rsidRDefault="006D3381" w:rsidP="00F10460">
      <w:pPr>
        <w:spacing w:line="312" w:lineRule="auto"/>
        <w:ind w:left="45"/>
        <w:jc w:val="both"/>
        <w:rPr>
          <w:i/>
          <w:sz w:val="26"/>
          <w:szCs w:val="26"/>
        </w:rPr>
      </w:pPr>
      <w:r w:rsidRPr="006B499B">
        <w:rPr>
          <w:i/>
          <w:sz w:val="26"/>
          <w:szCs w:val="26"/>
        </w:rPr>
        <w:t>Phân tích một số khoản mục trên Bảng cân đối kế toán:</w:t>
      </w:r>
    </w:p>
    <w:tbl>
      <w:tblPr>
        <w:tblW w:w="10016" w:type="dxa"/>
        <w:tblInd w:w="-64" w:type="dxa"/>
        <w:tblLayout w:type="fixed"/>
        <w:tblCellMar>
          <w:left w:w="29" w:type="dxa"/>
          <w:right w:w="29" w:type="dxa"/>
        </w:tblCellMar>
        <w:tblLook w:val="0000" w:firstRow="0" w:lastRow="0" w:firstColumn="0" w:lastColumn="0" w:noHBand="0" w:noVBand="0"/>
      </w:tblPr>
      <w:tblGrid>
        <w:gridCol w:w="3068"/>
        <w:gridCol w:w="1448"/>
        <w:gridCol w:w="1448"/>
        <w:gridCol w:w="1448"/>
        <w:gridCol w:w="1045"/>
        <w:gridCol w:w="1559"/>
      </w:tblGrid>
      <w:tr w:rsidR="006D3381" w:rsidRPr="00AE0699" w:rsidTr="006B499B">
        <w:trPr>
          <w:trHeight w:val="233"/>
        </w:trPr>
        <w:tc>
          <w:tcPr>
            <w:tcW w:w="3068" w:type="dxa"/>
            <w:tcBorders>
              <w:top w:val="single" w:sz="4" w:space="0" w:color="000000"/>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CHỈ TIÊU</w:t>
            </w:r>
          </w:p>
        </w:tc>
        <w:tc>
          <w:tcPr>
            <w:tcW w:w="1448" w:type="dxa"/>
            <w:tcBorders>
              <w:top w:val="single" w:sz="4" w:space="0" w:color="000000"/>
              <w:left w:val="single" w:sz="4" w:space="0" w:color="000000"/>
              <w:bottom w:val="single" w:sz="4" w:space="0" w:color="000000"/>
            </w:tcBorders>
            <w:vAlign w:val="bottom"/>
          </w:tcPr>
          <w:p w:rsidR="006D3381" w:rsidRPr="00AE0699" w:rsidRDefault="00EB1910" w:rsidP="00F10460">
            <w:pPr>
              <w:autoSpaceDE w:val="0"/>
              <w:snapToGrid w:val="0"/>
              <w:spacing w:line="312" w:lineRule="auto"/>
              <w:jc w:val="both"/>
              <w:rPr>
                <w:b/>
                <w:bCs/>
                <w:sz w:val="26"/>
                <w:szCs w:val="26"/>
              </w:rPr>
            </w:pPr>
            <w:r>
              <w:rPr>
                <w:b/>
                <w:bCs/>
                <w:sz w:val="26"/>
                <w:szCs w:val="26"/>
              </w:rPr>
              <w:t>Năm 2021</w:t>
            </w:r>
          </w:p>
        </w:tc>
        <w:tc>
          <w:tcPr>
            <w:tcW w:w="1448" w:type="dxa"/>
            <w:tcBorders>
              <w:top w:val="single" w:sz="4" w:space="0" w:color="000000"/>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Tỷ  trọng</w:t>
            </w:r>
          </w:p>
        </w:tc>
        <w:tc>
          <w:tcPr>
            <w:tcW w:w="1448" w:type="dxa"/>
            <w:tcBorders>
              <w:top w:val="single" w:sz="4" w:space="0" w:color="000000"/>
              <w:left w:val="single" w:sz="4" w:space="0" w:color="000000"/>
              <w:bottom w:val="single" w:sz="4" w:space="0" w:color="000000"/>
            </w:tcBorders>
            <w:vAlign w:val="bottom"/>
          </w:tcPr>
          <w:p w:rsidR="006D3381" w:rsidRPr="00AE0699" w:rsidRDefault="00EB1910" w:rsidP="00F10460">
            <w:pPr>
              <w:autoSpaceDE w:val="0"/>
              <w:snapToGrid w:val="0"/>
              <w:spacing w:line="312" w:lineRule="auto"/>
              <w:jc w:val="both"/>
              <w:rPr>
                <w:b/>
                <w:bCs/>
                <w:sz w:val="26"/>
                <w:szCs w:val="26"/>
              </w:rPr>
            </w:pPr>
            <w:r>
              <w:rPr>
                <w:b/>
                <w:bCs/>
                <w:sz w:val="26"/>
                <w:szCs w:val="26"/>
              </w:rPr>
              <w:t>2022</w:t>
            </w:r>
          </w:p>
        </w:tc>
        <w:tc>
          <w:tcPr>
            <w:tcW w:w="1045" w:type="dxa"/>
            <w:tcBorders>
              <w:top w:val="single" w:sz="4" w:space="0" w:color="000000"/>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Tỷ trọng</w:t>
            </w:r>
          </w:p>
        </w:tc>
        <w:tc>
          <w:tcPr>
            <w:tcW w:w="1559" w:type="dxa"/>
            <w:tcBorders>
              <w:top w:val="single" w:sz="4" w:space="0" w:color="000000"/>
              <w:left w:val="single" w:sz="4" w:space="0" w:color="000000"/>
              <w:bottom w:val="single" w:sz="4" w:space="0" w:color="000000"/>
              <w:right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Tăng trưởng</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TÀI SẢN</w:t>
            </w:r>
          </w:p>
        </w:tc>
        <w:tc>
          <w:tcPr>
            <w:tcW w:w="144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p>
        </w:tc>
        <w:tc>
          <w:tcPr>
            <w:tcW w:w="144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p>
        </w:tc>
        <w:tc>
          <w:tcPr>
            <w:tcW w:w="144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p>
        </w:tc>
        <w:tc>
          <w:tcPr>
            <w:tcW w:w="1045"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F10460">
            <w:pPr>
              <w:autoSpaceDE w:val="0"/>
              <w:snapToGrid w:val="0"/>
              <w:spacing w:line="312" w:lineRule="auto"/>
              <w:jc w:val="both"/>
              <w:rPr>
                <w:sz w:val="26"/>
                <w:szCs w:val="26"/>
              </w:rPr>
            </w:pP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 xml:space="preserve">A. Tài sản ngắn hạn </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28.823.271</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29,21%</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31.274.473</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27,03%</w:t>
            </w: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8,50%</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lastRenderedPageBreak/>
              <w:t>Tiền và các khoản tương đương tiền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12.232.244</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9.440.159</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-22,83%</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Đầu tư chứng khoán ngắn hạn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25.573</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3.389.292</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13153,40%</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Các khoản phải thu ngắn hạn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7.487.345</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7.657.454</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2,27%</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Hàng tồn kho</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8.694.200</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10.183.996</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17,14%</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Tài sản ngắn hạn khác</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383.909</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603.572</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57,22%</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B. Tài sản dài hạn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69.859.998</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70,79%</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84.432.837</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72,97%</w:t>
            </w: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20,86%</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Các khoản phải thu dài hạn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7.436</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68.901</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826,59%</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Tài sản cố định</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69.129.827</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83.242.963</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20,42%</w:t>
            </w:r>
          </w:p>
        </w:tc>
      </w:tr>
      <w:tr w:rsidR="006D3381" w:rsidRPr="00AE0699" w:rsidTr="006B499B">
        <w:trPr>
          <w:trHeight w:val="257"/>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Bất động sản đầu tư</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Các khoản đầu tư tài chính dài hạn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286.023</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531.753</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85,91%</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Tài sản dài hạn khác</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436.712</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589.220</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34,92%</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Tổng cộng tài sản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98.683.269</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115.707.310</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17,25%</w:t>
            </w:r>
          </w:p>
        </w:tc>
      </w:tr>
      <w:tr w:rsidR="006D3381" w:rsidRPr="00AE0699" w:rsidTr="006B499B">
        <w:trPr>
          <w:trHeight w:val="257"/>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NGUỒN VỐN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A. Nợ phải trả</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58.063.554</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58,84%</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66.571.724</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57,53%</w:t>
            </w: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14,65%</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Nợ ngắn hạn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12.754.989</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16.802.783</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31,73%</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Nợ dài hạn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45.308.565</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49.768.941</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9,84%</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B. Nguồn vốn chủ sở hữu</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40.619.715</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41,16%</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49.135.586</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42,47%</w:t>
            </w: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20,96%</w:t>
            </w:r>
          </w:p>
        </w:tc>
      </w:tr>
      <w:tr w:rsidR="006D3381" w:rsidRPr="00AE0699" w:rsidTr="006B499B">
        <w:trPr>
          <w:trHeight w:val="257"/>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Vốn chủ sở hữu</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39.875.020</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47.646.664</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19,49%</w:t>
            </w: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Nguồn kinh phí và quỹ khác</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744.695</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732.861</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-1,59%</w:t>
            </w:r>
          </w:p>
        </w:tc>
      </w:tr>
      <w:tr w:rsidR="006D3381" w:rsidRPr="00AE0699" w:rsidTr="006B499B">
        <w:trPr>
          <w:trHeight w:val="257"/>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sz w:val="26"/>
                <w:szCs w:val="26"/>
              </w:rPr>
            </w:pPr>
            <w:r w:rsidRPr="00AE0699">
              <w:rPr>
                <w:sz w:val="26"/>
                <w:szCs w:val="26"/>
              </w:rPr>
              <w:t>Lợi ích của cổ đông thiểu số</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756.061</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p>
        </w:tc>
      </w:tr>
      <w:tr w:rsidR="006D3381" w:rsidRPr="00AE0699" w:rsidTr="006B499B">
        <w:trPr>
          <w:trHeight w:val="233"/>
        </w:trPr>
        <w:tc>
          <w:tcPr>
            <w:tcW w:w="3068" w:type="dxa"/>
            <w:tcBorders>
              <w:left w:val="single" w:sz="4" w:space="0" w:color="000000"/>
              <w:bottom w:val="single" w:sz="4" w:space="0" w:color="000000"/>
            </w:tcBorders>
            <w:vAlign w:val="bottom"/>
          </w:tcPr>
          <w:p w:rsidR="006D3381" w:rsidRPr="00AE0699" w:rsidRDefault="006D3381" w:rsidP="00F10460">
            <w:pPr>
              <w:autoSpaceDE w:val="0"/>
              <w:snapToGrid w:val="0"/>
              <w:spacing w:line="312" w:lineRule="auto"/>
              <w:jc w:val="both"/>
              <w:rPr>
                <w:b/>
                <w:bCs/>
                <w:sz w:val="26"/>
                <w:szCs w:val="26"/>
              </w:rPr>
            </w:pPr>
            <w:r w:rsidRPr="00AE0699">
              <w:rPr>
                <w:b/>
                <w:bCs/>
                <w:sz w:val="26"/>
                <w:szCs w:val="26"/>
              </w:rPr>
              <w:t>Tổng cộng nguồn vốn</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98.683.269</w:t>
            </w: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p>
        </w:tc>
        <w:tc>
          <w:tcPr>
            <w:tcW w:w="1448"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r w:rsidRPr="00AE0699">
              <w:rPr>
                <w:b/>
                <w:bCs/>
                <w:sz w:val="26"/>
                <w:szCs w:val="26"/>
              </w:rPr>
              <w:t>115.707.310</w:t>
            </w:r>
          </w:p>
        </w:tc>
        <w:tc>
          <w:tcPr>
            <w:tcW w:w="1045" w:type="dxa"/>
            <w:tcBorders>
              <w:left w:val="single" w:sz="4" w:space="0" w:color="000000"/>
              <w:bottom w:val="single" w:sz="4" w:space="0" w:color="000000"/>
            </w:tcBorders>
            <w:vAlign w:val="bottom"/>
          </w:tcPr>
          <w:p w:rsidR="006D3381" w:rsidRPr="00AE0699" w:rsidRDefault="006D3381" w:rsidP="00EB1910">
            <w:pPr>
              <w:autoSpaceDE w:val="0"/>
              <w:snapToGrid w:val="0"/>
              <w:spacing w:line="312" w:lineRule="auto"/>
              <w:jc w:val="right"/>
              <w:rPr>
                <w:b/>
                <w:bCs/>
                <w:sz w:val="26"/>
                <w:szCs w:val="26"/>
              </w:rPr>
            </w:pPr>
          </w:p>
        </w:tc>
        <w:tc>
          <w:tcPr>
            <w:tcW w:w="1559" w:type="dxa"/>
            <w:tcBorders>
              <w:left w:val="single" w:sz="4" w:space="0" w:color="000000"/>
              <w:bottom w:val="single" w:sz="4" w:space="0" w:color="000000"/>
              <w:right w:val="single" w:sz="4" w:space="0" w:color="000000"/>
            </w:tcBorders>
            <w:vAlign w:val="bottom"/>
          </w:tcPr>
          <w:p w:rsidR="006D3381" w:rsidRPr="00AE0699" w:rsidRDefault="006D3381" w:rsidP="00EB1910">
            <w:pPr>
              <w:autoSpaceDE w:val="0"/>
              <w:snapToGrid w:val="0"/>
              <w:spacing w:line="312" w:lineRule="auto"/>
              <w:jc w:val="right"/>
              <w:rPr>
                <w:sz w:val="26"/>
                <w:szCs w:val="26"/>
              </w:rPr>
            </w:pPr>
            <w:r w:rsidRPr="00AE0699">
              <w:rPr>
                <w:sz w:val="26"/>
                <w:szCs w:val="26"/>
              </w:rPr>
              <w:t>17,25%</w:t>
            </w:r>
          </w:p>
        </w:tc>
      </w:tr>
    </w:tbl>
    <w:p w:rsidR="006D3381" w:rsidRDefault="00EB1910" w:rsidP="00F10460">
      <w:pPr>
        <w:tabs>
          <w:tab w:val="left" w:pos="1440"/>
        </w:tabs>
        <w:suppressAutoHyphens/>
        <w:autoSpaceDE w:val="0"/>
        <w:snapToGrid w:val="0"/>
        <w:spacing w:line="312" w:lineRule="auto"/>
        <w:jc w:val="both"/>
        <w:rPr>
          <w:sz w:val="26"/>
          <w:szCs w:val="26"/>
        </w:rPr>
      </w:pPr>
      <w:r>
        <w:rPr>
          <w:sz w:val="26"/>
          <w:szCs w:val="26"/>
        </w:rPr>
        <w:tab/>
      </w:r>
      <w:r w:rsidR="006D3381" w:rsidRPr="00246FE0">
        <w:rPr>
          <w:sz w:val="26"/>
          <w:szCs w:val="26"/>
        </w:rPr>
        <w:t xml:space="preserve">Đánh giá quy mô tổng </w:t>
      </w:r>
      <w:r w:rsidR="006D3381">
        <w:rPr>
          <w:sz w:val="26"/>
          <w:szCs w:val="26"/>
        </w:rPr>
        <w:t>tài sản (</w:t>
      </w:r>
      <w:r w:rsidR="006D3381" w:rsidRPr="00246FE0">
        <w:rPr>
          <w:sz w:val="26"/>
          <w:szCs w:val="26"/>
        </w:rPr>
        <w:t>TS</w:t>
      </w:r>
      <w:r w:rsidR="006D3381">
        <w:rPr>
          <w:sz w:val="26"/>
          <w:szCs w:val="26"/>
        </w:rPr>
        <w:t xml:space="preserve">) </w:t>
      </w:r>
      <w:r w:rsidR="006D3381" w:rsidRPr="00246FE0">
        <w:rPr>
          <w:sz w:val="26"/>
          <w:szCs w:val="26"/>
        </w:rPr>
        <w:t>-</w:t>
      </w:r>
      <w:r w:rsidR="006D3381">
        <w:rPr>
          <w:sz w:val="26"/>
          <w:szCs w:val="26"/>
        </w:rPr>
        <w:t xml:space="preserve"> nguồn vốn (</w:t>
      </w:r>
      <w:r w:rsidR="006D3381" w:rsidRPr="00246FE0">
        <w:rPr>
          <w:sz w:val="26"/>
          <w:szCs w:val="26"/>
        </w:rPr>
        <w:t>NV</w:t>
      </w:r>
      <w:r w:rsidR="006D3381">
        <w:rPr>
          <w:sz w:val="26"/>
          <w:szCs w:val="26"/>
        </w:rPr>
        <w:t>)</w:t>
      </w:r>
      <w:r w:rsidR="006D3381" w:rsidRPr="00246FE0">
        <w:rPr>
          <w:sz w:val="26"/>
          <w:szCs w:val="26"/>
        </w:rPr>
        <w:t xml:space="preserve"> tăng qua các năm, Tổng TS-NV cuố</w:t>
      </w:r>
      <w:r>
        <w:rPr>
          <w:sz w:val="26"/>
          <w:szCs w:val="26"/>
        </w:rPr>
        <w:t>i năm 2022</w:t>
      </w:r>
      <w:r w:rsidR="006D3381" w:rsidRPr="00246FE0">
        <w:rPr>
          <w:sz w:val="26"/>
          <w:szCs w:val="26"/>
        </w:rPr>
        <w:t xml:space="preserve"> là 115.707.310 trđ, tăng 17,25% so với đầu năm. Tài sản tăng chủ yếu do </w:t>
      </w:r>
      <w:r w:rsidR="006D3381">
        <w:rPr>
          <w:sz w:val="26"/>
          <w:szCs w:val="26"/>
        </w:rPr>
        <w:t>tài sản cố định (</w:t>
      </w:r>
      <w:r w:rsidR="006D3381" w:rsidRPr="00246FE0">
        <w:rPr>
          <w:sz w:val="26"/>
          <w:szCs w:val="26"/>
        </w:rPr>
        <w:t>TSCĐ</w:t>
      </w:r>
      <w:r w:rsidR="006D3381">
        <w:rPr>
          <w:sz w:val="26"/>
          <w:szCs w:val="26"/>
        </w:rPr>
        <w:t>)</w:t>
      </w:r>
      <w:r w:rsidR="006D3381" w:rsidRPr="00246FE0">
        <w:rPr>
          <w:sz w:val="26"/>
          <w:szCs w:val="26"/>
        </w:rPr>
        <w:t xml:space="preserve">, </w:t>
      </w:r>
      <w:r w:rsidR="006D3381">
        <w:rPr>
          <w:sz w:val="26"/>
          <w:szCs w:val="26"/>
        </w:rPr>
        <w:t>tài sản ngắn hạn (</w:t>
      </w:r>
      <w:r w:rsidR="006D3381" w:rsidRPr="00246FE0">
        <w:rPr>
          <w:sz w:val="26"/>
          <w:szCs w:val="26"/>
        </w:rPr>
        <w:t>TSNH</w:t>
      </w:r>
      <w:r w:rsidR="006D3381">
        <w:rPr>
          <w:sz w:val="26"/>
          <w:szCs w:val="26"/>
        </w:rPr>
        <w:t>)</w:t>
      </w:r>
      <w:r w:rsidR="006D3381" w:rsidRPr="00246FE0">
        <w:rPr>
          <w:sz w:val="26"/>
          <w:szCs w:val="26"/>
        </w:rPr>
        <w:t xml:space="preserve"> tăng, đối ứng với Nợ phải trả và Vốn </w:t>
      </w:r>
      <w:r w:rsidR="006D3381">
        <w:rPr>
          <w:sz w:val="26"/>
          <w:szCs w:val="26"/>
        </w:rPr>
        <w:t>chủ sở hữu (</w:t>
      </w:r>
      <w:r w:rsidR="006D3381" w:rsidRPr="00246FE0">
        <w:rPr>
          <w:sz w:val="26"/>
          <w:szCs w:val="26"/>
        </w:rPr>
        <w:t>CSH</w:t>
      </w:r>
      <w:r w:rsidR="006D3381">
        <w:rPr>
          <w:sz w:val="26"/>
          <w:szCs w:val="26"/>
        </w:rPr>
        <w:t>)</w:t>
      </w:r>
      <w:r w:rsidR="006D3381" w:rsidRPr="00246FE0">
        <w:rPr>
          <w:sz w:val="26"/>
          <w:szCs w:val="26"/>
        </w:rPr>
        <w:t xml:space="preserve"> tăng. Kết cấu Nguồn vốn – tài sản hợp lý với TS dài hạn được tài trợ từ 58,2% Nguồn vố</w:t>
      </w:r>
      <w:r w:rsidR="006D3381">
        <w:rPr>
          <w:sz w:val="26"/>
          <w:szCs w:val="26"/>
        </w:rPr>
        <w:t>n chủ sở hữu và n</w:t>
      </w:r>
      <w:r w:rsidR="006D3381" w:rsidRPr="00246FE0">
        <w:rPr>
          <w:sz w:val="26"/>
          <w:szCs w:val="26"/>
        </w:rPr>
        <w:t>ợ dài hạn; TS ngắn hạn được tài trợ từ Nợ ngắn hạ</w:t>
      </w:r>
      <w:r w:rsidR="006D3381">
        <w:rPr>
          <w:sz w:val="26"/>
          <w:szCs w:val="26"/>
        </w:rPr>
        <w:t xml:space="preserve">n chiếm </w:t>
      </w:r>
      <w:r w:rsidR="006D3381" w:rsidRPr="00246FE0">
        <w:rPr>
          <w:sz w:val="26"/>
          <w:szCs w:val="26"/>
        </w:rPr>
        <w:t xml:space="preserve"> 41,8% nguồn vốn CSH.Cơ cấu sử dụng vốn hợp lý và cân đối. Vốn chủ sở hữu cuố</w:t>
      </w:r>
      <w:r>
        <w:rPr>
          <w:sz w:val="26"/>
          <w:szCs w:val="26"/>
        </w:rPr>
        <w:t>i năm 2022</w:t>
      </w:r>
      <w:r w:rsidR="006D3381" w:rsidRPr="00246FE0">
        <w:rPr>
          <w:sz w:val="26"/>
          <w:szCs w:val="26"/>
        </w:rPr>
        <w:t xml:space="preserve"> là 49.135.586 trđ, tăng 19,5% so vớ</w:t>
      </w:r>
      <w:r>
        <w:rPr>
          <w:sz w:val="26"/>
          <w:szCs w:val="26"/>
        </w:rPr>
        <w:t>i năm 2021</w:t>
      </w:r>
      <w:r w:rsidR="006D3381" w:rsidRPr="00246FE0">
        <w:rPr>
          <w:sz w:val="26"/>
          <w:szCs w:val="26"/>
        </w:rPr>
        <w:t xml:space="preserve">, chiếm 42,5% Tổng Nguồn Vốn ở mức độ vừa phải, khả năng tự chủ tài chính trung bình. </w:t>
      </w:r>
      <w:proofErr w:type="gramStart"/>
      <w:r w:rsidR="006D3381" w:rsidRPr="00246FE0">
        <w:rPr>
          <w:sz w:val="26"/>
          <w:szCs w:val="26"/>
        </w:rPr>
        <w:t xml:space="preserve">Vốn </w:t>
      </w:r>
      <w:r w:rsidR="006D3381" w:rsidRPr="00246FE0">
        <w:rPr>
          <w:sz w:val="26"/>
          <w:szCs w:val="26"/>
        </w:rPr>
        <w:lastRenderedPageBreak/>
        <w:t>chủ sở hữu bao gồm Vốn chủ sở hữu, Nguồn kinh phí và quỹ khác và lợi ích của cổ đông thiểu số.</w:t>
      </w:r>
      <w:proofErr w:type="gramEnd"/>
    </w:p>
    <w:p w:rsidR="006D3381" w:rsidRPr="006B499B" w:rsidRDefault="006D3381" w:rsidP="00F10460">
      <w:pPr>
        <w:tabs>
          <w:tab w:val="left" w:pos="1530"/>
        </w:tabs>
        <w:suppressAutoHyphens/>
        <w:autoSpaceDE w:val="0"/>
        <w:spacing w:line="312" w:lineRule="auto"/>
        <w:jc w:val="both"/>
        <w:rPr>
          <w:rFonts w:eastAsia="Arial Unicode MS"/>
          <w:bCs/>
          <w:i/>
          <w:sz w:val="26"/>
          <w:szCs w:val="26"/>
        </w:rPr>
      </w:pPr>
      <w:r w:rsidRPr="006B499B">
        <w:rPr>
          <w:rFonts w:eastAsia="Arial Unicode MS"/>
          <w:bCs/>
          <w:i/>
          <w:sz w:val="26"/>
          <w:szCs w:val="26"/>
        </w:rPr>
        <w:t>Phân tích báo cáo lưu chuyển tiền tệ</w:t>
      </w:r>
    </w:p>
    <w:p w:rsidR="006D3381" w:rsidRDefault="006D3381" w:rsidP="00F10460">
      <w:pPr>
        <w:autoSpaceDE w:val="0"/>
        <w:spacing w:line="312" w:lineRule="auto"/>
        <w:ind w:left="405"/>
        <w:jc w:val="both"/>
        <w:rPr>
          <w:rFonts w:ascii="Arial" w:eastAsia="Arial Unicode MS" w:hAnsi="Arial" w:cs="Arial Unicode MS"/>
          <w:b/>
          <w:bCs/>
          <w:sz w:val="20"/>
        </w:rPr>
      </w:pPr>
    </w:p>
    <w:tbl>
      <w:tblPr>
        <w:tblW w:w="5000" w:type="pct"/>
        <w:tblLook w:val="0000" w:firstRow="0" w:lastRow="0" w:firstColumn="0" w:lastColumn="0" w:noHBand="0" w:noVBand="0"/>
      </w:tblPr>
      <w:tblGrid>
        <w:gridCol w:w="5866"/>
        <w:gridCol w:w="3710"/>
      </w:tblGrid>
      <w:tr w:rsidR="006D3381" w:rsidRPr="004B6B15" w:rsidTr="001A6227">
        <w:tc>
          <w:tcPr>
            <w:tcW w:w="3063" w:type="pct"/>
            <w:tcBorders>
              <w:top w:val="single" w:sz="4" w:space="0" w:color="000000"/>
              <w:left w:val="single" w:sz="4" w:space="0" w:color="000000"/>
              <w:bottom w:val="single" w:sz="4" w:space="0" w:color="000000"/>
            </w:tcBorders>
          </w:tcPr>
          <w:p w:rsidR="006D3381" w:rsidRPr="004B6B15" w:rsidRDefault="006D3381" w:rsidP="00F10460">
            <w:pPr>
              <w:autoSpaceDE w:val="0"/>
              <w:snapToGrid w:val="0"/>
              <w:spacing w:line="312" w:lineRule="auto"/>
              <w:ind w:left="45"/>
              <w:jc w:val="both"/>
              <w:rPr>
                <w:rFonts w:eastAsia="Arial Unicode MS"/>
                <w:b/>
                <w:bCs/>
                <w:sz w:val="26"/>
                <w:szCs w:val="26"/>
              </w:rPr>
            </w:pPr>
            <w:r w:rsidRPr="004B6B15">
              <w:rPr>
                <w:rFonts w:eastAsia="Arial Unicode MS"/>
                <w:b/>
                <w:bCs/>
                <w:sz w:val="26"/>
                <w:szCs w:val="26"/>
              </w:rPr>
              <w:t>Khoản mục</w:t>
            </w:r>
          </w:p>
        </w:tc>
        <w:tc>
          <w:tcPr>
            <w:tcW w:w="1937" w:type="pct"/>
            <w:tcBorders>
              <w:top w:val="single" w:sz="4" w:space="0" w:color="000000"/>
              <w:left w:val="single" w:sz="4" w:space="0" w:color="000000"/>
              <w:bottom w:val="single" w:sz="4" w:space="0" w:color="000000"/>
              <w:right w:val="single" w:sz="4" w:space="0" w:color="000000"/>
            </w:tcBorders>
          </w:tcPr>
          <w:p w:rsidR="006D3381" w:rsidRPr="004B6B15" w:rsidRDefault="006D3381" w:rsidP="00F10460">
            <w:pPr>
              <w:autoSpaceDE w:val="0"/>
              <w:snapToGrid w:val="0"/>
              <w:spacing w:line="312" w:lineRule="auto"/>
              <w:ind w:left="45"/>
              <w:jc w:val="both"/>
              <w:rPr>
                <w:rFonts w:eastAsia="Arial Unicode MS"/>
                <w:b/>
                <w:bCs/>
                <w:sz w:val="26"/>
                <w:szCs w:val="26"/>
              </w:rPr>
            </w:pPr>
            <w:r w:rsidRPr="004B6B15">
              <w:rPr>
                <w:rFonts w:eastAsia="Arial Unicode MS"/>
                <w:b/>
                <w:bCs/>
                <w:sz w:val="26"/>
                <w:szCs w:val="26"/>
              </w:rPr>
              <w:t>Giá trị</w:t>
            </w:r>
          </w:p>
        </w:tc>
      </w:tr>
      <w:tr w:rsidR="006D3381" w:rsidRPr="004B6B15" w:rsidTr="001A6227">
        <w:tc>
          <w:tcPr>
            <w:tcW w:w="3063" w:type="pct"/>
            <w:tcBorders>
              <w:left w:val="single" w:sz="4" w:space="0" w:color="000000"/>
              <w:bottom w:val="single" w:sz="4" w:space="0" w:color="000000"/>
            </w:tcBorders>
          </w:tcPr>
          <w:p w:rsidR="006D3381" w:rsidRPr="004B6B15" w:rsidRDefault="006D3381" w:rsidP="00F10460">
            <w:pPr>
              <w:autoSpaceDE w:val="0"/>
              <w:snapToGrid w:val="0"/>
              <w:spacing w:line="312" w:lineRule="auto"/>
              <w:ind w:left="45"/>
              <w:jc w:val="both"/>
              <w:rPr>
                <w:rFonts w:eastAsia="Arial Unicode MS"/>
                <w:sz w:val="26"/>
                <w:szCs w:val="26"/>
              </w:rPr>
            </w:pPr>
            <w:r w:rsidRPr="004B6B15">
              <w:rPr>
                <w:rFonts w:eastAsia="Arial Unicode MS"/>
                <w:sz w:val="26"/>
                <w:szCs w:val="26"/>
              </w:rPr>
              <w:t>Tiền và các khoản tương đương tiền đầu kỳ</w:t>
            </w:r>
          </w:p>
        </w:tc>
        <w:tc>
          <w:tcPr>
            <w:tcW w:w="1937" w:type="pct"/>
            <w:tcBorders>
              <w:left w:val="single" w:sz="4" w:space="0" w:color="000000"/>
              <w:bottom w:val="single" w:sz="4" w:space="0" w:color="000000"/>
              <w:right w:val="single" w:sz="4" w:space="0" w:color="000000"/>
            </w:tcBorders>
          </w:tcPr>
          <w:p w:rsidR="006D3381" w:rsidRPr="004B6B15" w:rsidRDefault="006D3381" w:rsidP="00EB1910">
            <w:pPr>
              <w:autoSpaceDE w:val="0"/>
              <w:snapToGrid w:val="0"/>
              <w:spacing w:line="312" w:lineRule="auto"/>
              <w:ind w:left="45"/>
              <w:jc w:val="right"/>
              <w:rPr>
                <w:rFonts w:eastAsia="Arial Unicode MS"/>
                <w:sz w:val="26"/>
                <w:szCs w:val="26"/>
              </w:rPr>
            </w:pPr>
            <w:r w:rsidRPr="004B6B15">
              <w:rPr>
                <w:rFonts w:eastAsia="Arial Unicode MS"/>
                <w:sz w:val="26"/>
                <w:szCs w:val="26"/>
              </w:rPr>
              <w:t xml:space="preserve"> 12.232.244 </w:t>
            </w:r>
          </w:p>
        </w:tc>
      </w:tr>
      <w:tr w:rsidR="006D3381" w:rsidRPr="004B6B15" w:rsidTr="001A6227">
        <w:tc>
          <w:tcPr>
            <w:tcW w:w="3063" w:type="pct"/>
            <w:tcBorders>
              <w:left w:val="single" w:sz="4" w:space="0" w:color="000000"/>
              <w:bottom w:val="single" w:sz="4" w:space="0" w:color="000000"/>
            </w:tcBorders>
          </w:tcPr>
          <w:p w:rsidR="006D3381" w:rsidRPr="004B6B15" w:rsidRDefault="006D3381" w:rsidP="00F10460">
            <w:pPr>
              <w:autoSpaceDE w:val="0"/>
              <w:snapToGrid w:val="0"/>
              <w:spacing w:line="312" w:lineRule="auto"/>
              <w:ind w:left="45"/>
              <w:jc w:val="both"/>
              <w:rPr>
                <w:rFonts w:eastAsia="Arial Unicode MS"/>
                <w:sz w:val="26"/>
                <w:szCs w:val="26"/>
              </w:rPr>
            </w:pPr>
            <w:r w:rsidRPr="004B6B15">
              <w:rPr>
                <w:rFonts w:eastAsia="Arial Unicode MS"/>
                <w:sz w:val="26"/>
                <w:szCs w:val="26"/>
              </w:rPr>
              <w:t>Chênh lệch dòng tiền thu, chi từ hoạt động sxkd</w:t>
            </w:r>
          </w:p>
        </w:tc>
        <w:tc>
          <w:tcPr>
            <w:tcW w:w="1937" w:type="pct"/>
            <w:tcBorders>
              <w:left w:val="single" w:sz="4" w:space="0" w:color="000000"/>
              <w:bottom w:val="single" w:sz="4" w:space="0" w:color="000000"/>
              <w:right w:val="single" w:sz="4" w:space="0" w:color="000000"/>
            </w:tcBorders>
          </w:tcPr>
          <w:p w:rsidR="006D3381" w:rsidRPr="004B6B15" w:rsidRDefault="006D3381" w:rsidP="00EB1910">
            <w:pPr>
              <w:autoSpaceDE w:val="0"/>
              <w:snapToGrid w:val="0"/>
              <w:spacing w:line="312" w:lineRule="auto"/>
              <w:ind w:left="45"/>
              <w:jc w:val="right"/>
              <w:rPr>
                <w:rFonts w:eastAsia="Arial Unicode MS"/>
                <w:sz w:val="26"/>
                <w:szCs w:val="26"/>
              </w:rPr>
            </w:pPr>
            <w:r w:rsidRPr="004B6B15">
              <w:rPr>
                <w:rFonts w:eastAsia="Arial Unicode MS"/>
                <w:sz w:val="26"/>
                <w:szCs w:val="26"/>
              </w:rPr>
              <w:t xml:space="preserve"> 356.471 </w:t>
            </w:r>
          </w:p>
        </w:tc>
      </w:tr>
      <w:tr w:rsidR="006D3381" w:rsidRPr="004B6B15" w:rsidTr="001A6227">
        <w:tc>
          <w:tcPr>
            <w:tcW w:w="3063" w:type="pct"/>
            <w:tcBorders>
              <w:left w:val="single" w:sz="4" w:space="0" w:color="000000"/>
              <w:bottom w:val="single" w:sz="4" w:space="0" w:color="000000"/>
            </w:tcBorders>
          </w:tcPr>
          <w:p w:rsidR="006D3381" w:rsidRPr="004B6B15" w:rsidRDefault="006D3381" w:rsidP="00F10460">
            <w:pPr>
              <w:autoSpaceDE w:val="0"/>
              <w:snapToGrid w:val="0"/>
              <w:spacing w:line="312" w:lineRule="auto"/>
              <w:ind w:left="45"/>
              <w:jc w:val="both"/>
              <w:rPr>
                <w:rFonts w:eastAsia="Arial Unicode MS"/>
                <w:sz w:val="26"/>
                <w:szCs w:val="26"/>
              </w:rPr>
            </w:pPr>
            <w:r w:rsidRPr="004B6B15">
              <w:rPr>
                <w:rFonts w:eastAsia="Arial Unicode MS"/>
                <w:sz w:val="26"/>
                <w:szCs w:val="26"/>
              </w:rPr>
              <w:t>Chênh lệch dòng tiền thu, chi từ hoạt động đầu tư</w:t>
            </w:r>
          </w:p>
        </w:tc>
        <w:tc>
          <w:tcPr>
            <w:tcW w:w="1937" w:type="pct"/>
            <w:tcBorders>
              <w:left w:val="single" w:sz="4" w:space="0" w:color="000000"/>
              <w:bottom w:val="single" w:sz="4" w:space="0" w:color="000000"/>
              <w:right w:val="single" w:sz="4" w:space="0" w:color="000000"/>
            </w:tcBorders>
          </w:tcPr>
          <w:p w:rsidR="006D3381" w:rsidRPr="004B6B15" w:rsidRDefault="006D3381" w:rsidP="00EB1910">
            <w:pPr>
              <w:autoSpaceDE w:val="0"/>
              <w:snapToGrid w:val="0"/>
              <w:spacing w:line="312" w:lineRule="auto"/>
              <w:ind w:left="45"/>
              <w:jc w:val="right"/>
              <w:rPr>
                <w:rFonts w:eastAsia="Arial Unicode MS"/>
                <w:sz w:val="26"/>
                <w:szCs w:val="26"/>
              </w:rPr>
            </w:pPr>
            <w:r w:rsidRPr="004B6B15">
              <w:rPr>
                <w:rFonts w:eastAsia="Arial Unicode MS"/>
                <w:sz w:val="26"/>
                <w:szCs w:val="26"/>
              </w:rPr>
              <w:t xml:space="preserve"> (17.936.558)</w:t>
            </w:r>
          </w:p>
        </w:tc>
      </w:tr>
      <w:tr w:rsidR="006D3381" w:rsidRPr="004B6B15" w:rsidTr="001A6227">
        <w:tc>
          <w:tcPr>
            <w:tcW w:w="3063" w:type="pct"/>
            <w:tcBorders>
              <w:left w:val="single" w:sz="4" w:space="0" w:color="000000"/>
              <w:bottom w:val="single" w:sz="4" w:space="0" w:color="000000"/>
            </w:tcBorders>
          </w:tcPr>
          <w:p w:rsidR="006D3381" w:rsidRPr="004B6B15" w:rsidRDefault="006D3381" w:rsidP="00F10460">
            <w:pPr>
              <w:autoSpaceDE w:val="0"/>
              <w:snapToGrid w:val="0"/>
              <w:spacing w:line="312" w:lineRule="auto"/>
              <w:ind w:left="45"/>
              <w:jc w:val="both"/>
              <w:rPr>
                <w:rFonts w:eastAsia="Arial Unicode MS"/>
                <w:sz w:val="26"/>
                <w:szCs w:val="26"/>
              </w:rPr>
            </w:pPr>
            <w:r w:rsidRPr="004B6B15">
              <w:rPr>
                <w:rFonts w:eastAsia="Arial Unicode MS"/>
                <w:sz w:val="26"/>
                <w:szCs w:val="26"/>
              </w:rPr>
              <w:t>Chênh lệch dòng tiền thu, chi từ hoạt động tài chính</w:t>
            </w:r>
          </w:p>
        </w:tc>
        <w:tc>
          <w:tcPr>
            <w:tcW w:w="1937" w:type="pct"/>
            <w:tcBorders>
              <w:left w:val="single" w:sz="4" w:space="0" w:color="000000"/>
              <w:bottom w:val="single" w:sz="4" w:space="0" w:color="000000"/>
              <w:right w:val="single" w:sz="4" w:space="0" w:color="000000"/>
            </w:tcBorders>
          </w:tcPr>
          <w:p w:rsidR="006D3381" w:rsidRPr="004B6B15" w:rsidRDefault="006D3381" w:rsidP="00EB1910">
            <w:pPr>
              <w:autoSpaceDE w:val="0"/>
              <w:snapToGrid w:val="0"/>
              <w:spacing w:line="312" w:lineRule="auto"/>
              <w:ind w:left="45"/>
              <w:jc w:val="right"/>
              <w:rPr>
                <w:rFonts w:eastAsia="Arial Unicode MS"/>
                <w:sz w:val="26"/>
                <w:szCs w:val="26"/>
              </w:rPr>
            </w:pPr>
            <w:r w:rsidRPr="004B6B15">
              <w:rPr>
                <w:rFonts w:eastAsia="Arial Unicode MS"/>
                <w:sz w:val="26"/>
                <w:szCs w:val="26"/>
              </w:rPr>
              <w:t xml:space="preserve"> 14.788.002 </w:t>
            </w:r>
          </w:p>
        </w:tc>
      </w:tr>
      <w:tr w:rsidR="006D3381" w:rsidRPr="004B6B15" w:rsidTr="001A6227">
        <w:tc>
          <w:tcPr>
            <w:tcW w:w="3063" w:type="pct"/>
            <w:tcBorders>
              <w:left w:val="single" w:sz="4" w:space="0" w:color="000000"/>
              <w:bottom w:val="single" w:sz="4" w:space="0" w:color="000000"/>
            </w:tcBorders>
          </w:tcPr>
          <w:p w:rsidR="006D3381" w:rsidRPr="004B6B15" w:rsidRDefault="006D3381" w:rsidP="00F10460">
            <w:pPr>
              <w:autoSpaceDE w:val="0"/>
              <w:snapToGrid w:val="0"/>
              <w:spacing w:line="312" w:lineRule="auto"/>
              <w:ind w:left="45"/>
              <w:jc w:val="both"/>
              <w:rPr>
                <w:rFonts w:eastAsia="Arial Unicode MS"/>
                <w:sz w:val="26"/>
                <w:szCs w:val="26"/>
              </w:rPr>
            </w:pPr>
            <w:r w:rsidRPr="004B6B15">
              <w:rPr>
                <w:rFonts w:eastAsia="Arial Unicode MS"/>
                <w:sz w:val="26"/>
                <w:szCs w:val="26"/>
              </w:rPr>
              <w:t>Tiền và các khoản tương đương tiền cuối kỳ</w:t>
            </w:r>
          </w:p>
        </w:tc>
        <w:tc>
          <w:tcPr>
            <w:tcW w:w="1937" w:type="pct"/>
            <w:tcBorders>
              <w:left w:val="single" w:sz="4" w:space="0" w:color="000000"/>
              <w:bottom w:val="single" w:sz="4" w:space="0" w:color="000000"/>
              <w:right w:val="single" w:sz="4" w:space="0" w:color="000000"/>
            </w:tcBorders>
          </w:tcPr>
          <w:p w:rsidR="006D3381" w:rsidRPr="004B6B15" w:rsidRDefault="006D3381" w:rsidP="00EB1910">
            <w:pPr>
              <w:autoSpaceDE w:val="0"/>
              <w:snapToGrid w:val="0"/>
              <w:spacing w:line="312" w:lineRule="auto"/>
              <w:ind w:left="45"/>
              <w:jc w:val="right"/>
              <w:rPr>
                <w:rFonts w:eastAsia="Arial Unicode MS"/>
                <w:sz w:val="26"/>
                <w:szCs w:val="26"/>
              </w:rPr>
            </w:pPr>
            <w:r w:rsidRPr="004B6B15">
              <w:rPr>
                <w:rFonts w:eastAsia="Arial Unicode MS"/>
                <w:sz w:val="26"/>
                <w:szCs w:val="26"/>
              </w:rPr>
              <w:t xml:space="preserve"> 9.440.159 </w:t>
            </w:r>
          </w:p>
        </w:tc>
      </w:tr>
    </w:tbl>
    <w:p w:rsidR="006D3381" w:rsidRPr="004B6B15" w:rsidRDefault="00EB1910" w:rsidP="00F10460">
      <w:pPr>
        <w:tabs>
          <w:tab w:val="left" w:pos="1440"/>
          <w:tab w:val="left" w:pos="1485"/>
        </w:tabs>
        <w:suppressAutoHyphens/>
        <w:autoSpaceDE w:val="0"/>
        <w:spacing w:line="312" w:lineRule="auto"/>
        <w:jc w:val="both"/>
        <w:rPr>
          <w:rFonts w:eastAsia="Arial Unicode MS"/>
          <w:sz w:val="26"/>
          <w:szCs w:val="26"/>
        </w:rPr>
      </w:pPr>
      <w:r>
        <w:rPr>
          <w:rFonts w:eastAsia="Arial Unicode MS"/>
          <w:sz w:val="26"/>
          <w:szCs w:val="26"/>
        </w:rPr>
        <w:tab/>
      </w:r>
      <w:proofErr w:type="gramStart"/>
      <w:r w:rsidR="006D3381" w:rsidRPr="004B6B15">
        <w:rPr>
          <w:rFonts w:eastAsia="Arial Unicode MS"/>
          <w:sz w:val="26"/>
          <w:szCs w:val="26"/>
        </w:rPr>
        <w:t xml:space="preserve">Các khoản mục lưu chuyển tiền tệ cho thấy trong năm </w:t>
      </w:r>
      <w:r w:rsidR="006D3381">
        <w:rPr>
          <w:rFonts w:eastAsia="Arial Unicode MS"/>
          <w:sz w:val="26"/>
          <w:szCs w:val="26"/>
        </w:rPr>
        <w:t>Doanh nghiệp</w:t>
      </w:r>
      <w:r w:rsidR="006D3381" w:rsidRPr="004B6B15">
        <w:rPr>
          <w:rFonts w:eastAsia="Arial Unicode MS"/>
          <w:sz w:val="26"/>
          <w:szCs w:val="26"/>
        </w:rPr>
        <w:t xml:space="preserve"> chủ yếu huy động tiền từ hoạt động tài chính (tăng vốn góp, nợ vay) để sử dụng cho hoạt động đầu tư (tăng TSCĐ).</w:t>
      </w:r>
      <w:proofErr w:type="gramEnd"/>
      <w:r w:rsidR="006D3381" w:rsidRPr="004B6B15">
        <w:rPr>
          <w:rFonts w:eastAsia="Arial Unicode MS"/>
          <w:sz w:val="26"/>
          <w:szCs w:val="26"/>
        </w:rPr>
        <w:t xml:space="preserve"> Lưu chuyển tiền tệ phản ánh đúng hoạt động của</w:t>
      </w:r>
      <w:r w:rsidR="006D3381">
        <w:rPr>
          <w:rFonts w:eastAsia="Arial Unicode MS"/>
          <w:sz w:val="26"/>
          <w:szCs w:val="26"/>
        </w:rPr>
        <w:t xml:space="preserve"> Doanh </w:t>
      </w:r>
      <w:proofErr w:type="gramStart"/>
      <w:r w:rsidR="006D3381">
        <w:rPr>
          <w:rFonts w:eastAsia="Arial Unicode MS"/>
          <w:sz w:val="26"/>
          <w:szCs w:val="26"/>
        </w:rPr>
        <w:t xml:space="preserve">nghiệp </w:t>
      </w:r>
      <w:r w:rsidR="006D3381" w:rsidRPr="004B6B15">
        <w:rPr>
          <w:rFonts w:eastAsia="Arial Unicode MS"/>
          <w:sz w:val="26"/>
          <w:szCs w:val="26"/>
        </w:rPr>
        <w:t xml:space="preserve"> trong</w:t>
      </w:r>
      <w:proofErr w:type="gramEnd"/>
      <w:r w:rsidR="006D3381" w:rsidRPr="004B6B15">
        <w:rPr>
          <w:rFonts w:eastAsia="Arial Unicode MS"/>
          <w:sz w:val="26"/>
          <w:szCs w:val="26"/>
        </w:rPr>
        <w:t xml:space="preserve"> giai đoạn hiện nay là đang thu hút các nguồn vốn để </w:t>
      </w:r>
      <w:r w:rsidR="006D3381">
        <w:rPr>
          <w:rFonts w:eastAsia="Arial Unicode MS"/>
          <w:sz w:val="26"/>
          <w:szCs w:val="26"/>
        </w:rPr>
        <w:t>thực hiện công trình</w:t>
      </w:r>
      <w:r w:rsidR="006D3381" w:rsidRPr="004B6B15">
        <w:rPr>
          <w:rFonts w:eastAsia="Arial Unicode MS"/>
          <w:sz w:val="26"/>
          <w:szCs w:val="26"/>
        </w:rPr>
        <w:t xml:space="preserve"> theo kịp tiến độ.</w:t>
      </w:r>
    </w:p>
    <w:p w:rsidR="006D3381" w:rsidRPr="00246FE0" w:rsidRDefault="006D3381" w:rsidP="00F10460">
      <w:pPr>
        <w:tabs>
          <w:tab w:val="left" w:pos="1440"/>
        </w:tabs>
        <w:suppressAutoHyphens/>
        <w:autoSpaceDE w:val="0"/>
        <w:snapToGrid w:val="0"/>
        <w:spacing w:line="312" w:lineRule="auto"/>
        <w:jc w:val="both"/>
        <w:rPr>
          <w:sz w:val="26"/>
          <w:szCs w:val="26"/>
        </w:rPr>
      </w:pPr>
      <w:r w:rsidRPr="004B6B15">
        <w:rPr>
          <w:rFonts w:eastAsia="Arial Unicode MS"/>
          <w:sz w:val="26"/>
          <w:szCs w:val="26"/>
        </w:rPr>
        <w:t xml:space="preserve">Khả năng tạo tiền </w:t>
      </w:r>
      <w:proofErr w:type="gramStart"/>
      <w:r w:rsidRPr="004B6B15">
        <w:rPr>
          <w:rFonts w:eastAsia="Arial Unicode MS"/>
          <w:sz w:val="26"/>
          <w:szCs w:val="26"/>
        </w:rPr>
        <w:t>củ</w:t>
      </w:r>
      <w:r>
        <w:rPr>
          <w:rFonts w:eastAsia="Arial Unicode MS"/>
          <w:sz w:val="26"/>
          <w:szCs w:val="26"/>
        </w:rPr>
        <w:t xml:space="preserve">a </w:t>
      </w:r>
      <w:r w:rsidRPr="004B6B15">
        <w:rPr>
          <w:rFonts w:eastAsia="Arial Unicode MS"/>
          <w:sz w:val="26"/>
          <w:szCs w:val="26"/>
        </w:rPr>
        <w:t xml:space="preserve"> bình</w:t>
      </w:r>
      <w:proofErr w:type="gramEnd"/>
      <w:r w:rsidRPr="004B6B15">
        <w:rPr>
          <w:rFonts w:eastAsia="Arial Unicode MS"/>
          <w:sz w:val="26"/>
          <w:szCs w:val="26"/>
        </w:rPr>
        <w:t xml:space="preserve"> thườ</w:t>
      </w:r>
      <w:r>
        <w:rPr>
          <w:rFonts w:eastAsia="Arial Unicode MS"/>
          <w:sz w:val="26"/>
          <w:szCs w:val="26"/>
        </w:rPr>
        <w:t>ng, t</w:t>
      </w:r>
      <w:r w:rsidRPr="004B6B15">
        <w:rPr>
          <w:rFonts w:eastAsia="Arial Unicode MS"/>
          <w:sz w:val="26"/>
          <w:szCs w:val="26"/>
        </w:rPr>
        <w:t xml:space="preserve">iền tạo ra chủ yếu từ </w:t>
      </w:r>
      <w:r>
        <w:rPr>
          <w:rFonts w:eastAsia="Arial Unicode MS"/>
          <w:sz w:val="26"/>
          <w:szCs w:val="26"/>
        </w:rPr>
        <w:t>hoạt động</w:t>
      </w:r>
      <w:r w:rsidRPr="004B6B15">
        <w:rPr>
          <w:rFonts w:eastAsia="Arial Unicode MS"/>
          <w:sz w:val="26"/>
          <w:szCs w:val="26"/>
        </w:rPr>
        <w:t xml:space="preserve"> và tài chính nhưng không bù đắp sự thiếu hụt từ đầu tư.</w:t>
      </w:r>
    </w:p>
    <w:p w:rsidR="006D3381" w:rsidRPr="00F10460" w:rsidRDefault="00F10460" w:rsidP="00F10460">
      <w:pPr>
        <w:spacing w:line="312" w:lineRule="auto"/>
        <w:jc w:val="both"/>
        <w:rPr>
          <w:b/>
          <w:color w:val="000000"/>
          <w:sz w:val="26"/>
          <w:szCs w:val="26"/>
        </w:rPr>
      </w:pPr>
      <w:r w:rsidRPr="00F10460">
        <w:rPr>
          <w:b/>
          <w:color w:val="000000"/>
          <w:sz w:val="26"/>
          <w:szCs w:val="26"/>
        </w:rPr>
        <w:t>+ T</w:t>
      </w:r>
      <w:r w:rsidR="006D3381" w:rsidRPr="00F10460">
        <w:rPr>
          <w:b/>
          <w:color w:val="000000"/>
          <w:sz w:val="26"/>
          <w:szCs w:val="26"/>
        </w:rPr>
        <w:t xml:space="preserve">hông tin thích hợp </w:t>
      </w:r>
    </w:p>
    <w:p w:rsidR="006D3381" w:rsidRDefault="006D3381" w:rsidP="00F10460">
      <w:pPr>
        <w:spacing w:line="312" w:lineRule="auto"/>
        <w:ind w:firstLine="720"/>
        <w:jc w:val="both"/>
        <w:rPr>
          <w:sz w:val="26"/>
          <w:szCs w:val="26"/>
          <w:shd w:val="clear" w:color="auto" w:fill="FFFFFF"/>
        </w:rPr>
      </w:pPr>
      <w:r w:rsidRPr="009D6BAB">
        <w:rPr>
          <w:color w:val="000000"/>
          <w:sz w:val="26"/>
          <w:szCs w:val="26"/>
        </w:rPr>
        <w:t xml:space="preserve">Các đánh giá đầu tư dựa trên việc phân </w:t>
      </w:r>
      <w:proofErr w:type="gramStart"/>
      <w:r w:rsidRPr="009D6BAB">
        <w:rPr>
          <w:color w:val="000000"/>
          <w:sz w:val="26"/>
          <w:szCs w:val="26"/>
        </w:rPr>
        <w:t>tích  hợp</w:t>
      </w:r>
      <w:proofErr w:type="gramEnd"/>
      <w:r w:rsidRPr="009D6BAB">
        <w:rPr>
          <w:color w:val="000000"/>
          <w:sz w:val="26"/>
          <w:szCs w:val="26"/>
        </w:rPr>
        <w:t xml:space="preserve"> lý các thông tin đến từ nội bộ và bên ngoài doanh nghiệp, cũng như các thông tin liên quan đến tài chính và phi tài chính. Thông qua việc tính toán các chỉ số hiện giá</w:t>
      </w:r>
      <w:r w:rsidRPr="00091F51">
        <w:rPr>
          <w:color w:val="000000"/>
          <w:sz w:val="26"/>
          <w:szCs w:val="26"/>
        </w:rPr>
        <w:t xml:space="preserve"> </w:t>
      </w:r>
      <w:r w:rsidRPr="007A6FB2">
        <w:rPr>
          <w:color w:val="000000"/>
          <w:sz w:val="26"/>
          <w:szCs w:val="26"/>
        </w:rPr>
        <w:t xml:space="preserve">thuần, tỷ suất hoàn vốn nội bộ, thời gian hoàn vốn cùng với việc cân nhắc các giải pháp về nguồn lực, </w:t>
      </w:r>
      <w:r w:rsidRPr="008D7E52">
        <w:rPr>
          <w:sz w:val="26"/>
          <w:szCs w:val="26"/>
          <w:shd w:val="clear" w:color="auto" w:fill="FFFFFF"/>
        </w:rPr>
        <w:t>để có thể ứng biến với những rủi ro trong đầu tư dài hạn.</w:t>
      </w:r>
    </w:p>
    <w:tbl>
      <w:tblPr>
        <w:tblW w:w="7088" w:type="dxa"/>
        <w:tblInd w:w="1242" w:type="dxa"/>
        <w:tblLayout w:type="fixed"/>
        <w:tblLook w:val="0000" w:firstRow="0" w:lastRow="0" w:firstColumn="0" w:lastColumn="0" w:noHBand="0" w:noVBand="0"/>
      </w:tblPr>
      <w:tblGrid>
        <w:gridCol w:w="4590"/>
        <w:gridCol w:w="2498"/>
      </w:tblGrid>
      <w:tr w:rsidR="006D3381" w:rsidRPr="00626C85" w:rsidTr="00EB1910">
        <w:tc>
          <w:tcPr>
            <w:tcW w:w="4590" w:type="dxa"/>
            <w:tcBorders>
              <w:top w:val="single" w:sz="4" w:space="0" w:color="000000"/>
              <w:left w:val="single" w:sz="4" w:space="0" w:color="000000"/>
              <w:bottom w:val="single" w:sz="4" w:space="0" w:color="000000"/>
            </w:tcBorders>
          </w:tcPr>
          <w:p w:rsidR="006D3381" w:rsidRPr="00626C85" w:rsidRDefault="006D3381" w:rsidP="00F10460">
            <w:pPr>
              <w:autoSpaceDE w:val="0"/>
              <w:snapToGrid w:val="0"/>
              <w:spacing w:line="312" w:lineRule="auto"/>
              <w:jc w:val="both"/>
              <w:rPr>
                <w:rFonts w:eastAsia="Arial Unicode MS"/>
                <w:b/>
                <w:sz w:val="26"/>
                <w:szCs w:val="26"/>
              </w:rPr>
            </w:pPr>
            <w:r w:rsidRPr="00626C85">
              <w:rPr>
                <w:rFonts w:eastAsia="Arial Unicode MS"/>
                <w:b/>
                <w:sz w:val="26"/>
                <w:szCs w:val="26"/>
              </w:rPr>
              <w:t>Chỉ số</w:t>
            </w:r>
          </w:p>
        </w:tc>
        <w:tc>
          <w:tcPr>
            <w:tcW w:w="2498" w:type="dxa"/>
            <w:tcBorders>
              <w:top w:val="single" w:sz="4" w:space="0" w:color="000000"/>
              <w:left w:val="single" w:sz="4" w:space="0" w:color="000000"/>
              <w:bottom w:val="single" w:sz="4" w:space="0" w:color="000000"/>
              <w:right w:val="single" w:sz="4" w:space="0" w:color="000000"/>
            </w:tcBorders>
          </w:tcPr>
          <w:p w:rsidR="006D3381" w:rsidRPr="00626C85" w:rsidRDefault="006D3381" w:rsidP="00F10460">
            <w:pPr>
              <w:autoSpaceDE w:val="0"/>
              <w:snapToGrid w:val="0"/>
              <w:spacing w:line="312" w:lineRule="auto"/>
              <w:jc w:val="both"/>
              <w:rPr>
                <w:rFonts w:eastAsia="Arial Unicode MS"/>
                <w:b/>
                <w:sz w:val="26"/>
                <w:szCs w:val="26"/>
              </w:rPr>
            </w:pPr>
            <w:r w:rsidRPr="00626C85">
              <w:rPr>
                <w:rFonts w:eastAsia="Arial Unicode MS"/>
                <w:b/>
                <w:sz w:val="26"/>
                <w:szCs w:val="26"/>
              </w:rPr>
              <w:t>Giá trị</w:t>
            </w:r>
          </w:p>
        </w:tc>
      </w:tr>
      <w:tr w:rsidR="006D3381" w:rsidRPr="00626C85" w:rsidTr="00EB1910">
        <w:tc>
          <w:tcPr>
            <w:tcW w:w="4590" w:type="dxa"/>
            <w:tcBorders>
              <w:left w:val="single" w:sz="4" w:space="0" w:color="000000"/>
              <w:bottom w:val="single" w:sz="4" w:space="0" w:color="000000"/>
            </w:tcBorders>
          </w:tcPr>
          <w:p w:rsidR="006D3381" w:rsidRPr="00626C85" w:rsidRDefault="006D3381" w:rsidP="00F10460">
            <w:pPr>
              <w:autoSpaceDE w:val="0"/>
              <w:snapToGrid w:val="0"/>
              <w:spacing w:line="312" w:lineRule="auto"/>
              <w:jc w:val="both"/>
              <w:rPr>
                <w:rFonts w:eastAsia="Arial Unicode MS"/>
                <w:sz w:val="26"/>
                <w:szCs w:val="26"/>
              </w:rPr>
            </w:pPr>
            <w:r w:rsidRPr="00626C85">
              <w:rPr>
                <w:rFonts w:eastAsia="Arial Unicode MS"/>
                <w:sz w:val="26"/>
                <w:szCs w:val="26"/>
              </w:rPr>
              <w:t>Hiện giá thu nhập ròng (NPV)</w:t>
            </w:r>
          </w:p>
        </w:tc>
        <w:tc>
          <w:tcPr>
            <w:tcW w:w="2498" w:type="dxa"/>
            <w:tcBorders>
              <w:left w:val="single" w:sz="4" w:space="0" w:color="000000"/>
              <w:bottom w:val="single" w:sz="4" w:space="0" w:color="000000"/>
              <w:right w:val="single" w:sz="4" w:space="0" w:color="000000"/>
            </w:tcBorders>
          </w:tcPr>
          <w:p w:rsidR="006D3381" w:rsidRPr="00626C85" w:rsidRDefault="006D3381" w:rsidP="00F10460">
            <w:pPr>
              <w:autoSpaceDE w:val="0"/>
              <w:snapToGrid w:val="0"/>
              <w:spacing w:line="312" w:lineRule="auto"/>
              <w:jc w:val="both"/>
              <w:rPr>
                <w:rFonts w:eastAsia="Arial Unicode MS"/>
                <w:sz w:val="26"/>
                <w:szCs w:val="26"/>
              </w:rPr>
            </w:pPr>
            <w:r w:rsidRPr="00626C85">
              <w:rPr>
                <w:rFonts w:eastAsia="Arial Unicode MS"/>
                <w:sz w:val="26"/>
                <w:szCs w:val="26"/>
              </w:rPr>
              <w:t>12.450 trđ</w:t>
            </w:r>
          </w:p>
        </w:tc>
      </w:tr>
      <w:tr w:rsidR="006D3381" w:rsidRPr="00626C85" w:rsidTr="00EB1910">
        <w:tc>
          <w:tcPr>
            <w:tcW w:w="4590" w:type="dxa"/>
            <w:tcBorders>
              <w:left w:val="single" w:sz="4" w:space="0" w:color="000000"/>
              <w:bottom w:val="single" w:sz="4" w:space="0" w:color="000000"/>
            </w:tcBorders>
          </w:tcPr>
          <w:p w:rsidR="006D3381" w:rsidRPr="00626C85" w:rsidRDefault="006D3381" w:rsidP="00F10460">
            <w:pPr>
              <w:autoSpaceDE w:val="0"/>
              <w:snapToGrid w:val="0"/>
              <w:spacing w:line="312" w:lineRule="auto"/>
              <w:jc w:val="both"/>
              <w:rPr>
                <w:rFonts w:eastAsia="Arial Unicode MS"/>
                <w:sz w:val="26"/>
                <w:szCs w:val="26"/>
              </w:rPr>
            </w:pPr>
            <w:r w:rsidRPr="00626C85">
              <w:rPr>
                <w:rFonts w:eastAsia="Arial Unicode MS"/>
                <w:sz w:val="26"/>
                <w:szCs w:val="26"/>
              </w:rPr>
              <w:t>Tỷ suất hoàn vốn nội bộ (IRR)</w:t>
            </w:r>
          </w:p>
        </w:tc>
        <w:tc>
          <w:tcPr>
            <w:tcW w:w="2498" w:type="dxa"/>
            <w:tcBorders>
              <w:left w:val="single" w:sz="4" w:space="0" w:color="000000"/>
              <w:bottom w:val="single" w:sz="4" w:space="0" w:color="000000"/>
              <w:right w:val="single" w:sz="4" w:space="0" w:color="000000"/>
            </w:tcBorders>
          </w:tcPr>
          <w:p w:rsidR="006D3381" w:rsidRPr="00626C85" w:rsidRDefault="006D3381" w:rsidP="00F10460">
            <w:pPr>
              <w:autoSpaceDE w:val="0"/>
              <w:snapToGrid w:val="0"/>
              <w:spacing w:line="312" w:lineRule="auto"/>
              <w:jc w:val="both"/>
              <w:rPr>
                <w:rFonts w:eastAsia="Arial Unicode MS"/>
                <w:sz w:val="26"/>
                <w:szCs w:val="26"/>
              </w:rPr>
            </w:pPr>
            <w:r w:rsidRPr="00626C85">
              <w:rPr>
                <w:rFonts w:eastAsia="Arial Unicode MS"/>
                <w:sz w:val="26"/>
                <w:szCs w:val="26"/>
              </w:rPr>
              <w:t>9,5%</w:t>
            </w:r>
          </w:p>
        </w:tc>
      </w:tr>
      <w:tr w:rsidR="006D3381" w:rsidRPr="00626C85" w:rsidTr="00EB1910">
        <w:tc>
          <w:tcPr>
            <w:tcW w:w="4590" w:type="dxa"/>
            <w:tcBorders>
              <w:left w:val="single" w:sz="4" w:space="0" w:color="000000"/>
              <w:bottom w:val="single" w:sz="4" w:space="0" w:color="000000"/>
            </w:tcBorders>
          </w:tcPr>
          <w:p w:rsidR="006D3381" w:rsidRPr="00626C85" w:rsidRDefault="006D3381" w:rsidP="00F10460">
            <w:pPr>
              <w:autoSpaceDE w:val="0"/>
              <w:snapToGrid w:val="0"/>
              <w:spacing w:line="312" w:lineRule="auto"/>
              <w:jc w:val="both"/>
              <w:rPr>
                <w:rFonts w:eastAsia="Arial Unicode MS"/>
                <w:sz w:val="26"/>
                <w:szCs w:val="26"/>
              </w:rPr>
            </w:pPr>
            <w:r w:rsidRPr="00626C85">
              <w:rPr>
                <w:rFonts w:eastAsia="Arial Unicode MS"/>
                <w:sz w:val="26"/>
                <w:szCs w:val="26"/>
              </w:rPr>
              <w:t>Thời gian hoàn vốn đầu tư có chiết khấu</w:t>
            </w:r>
          </w:p>
        </w:tc>
        <w:tc>
          <w:tcPr>
            <w:tcW w:w="2498" w:type="dxa"/>
            <w:tcBorders>
              <w:left w:val="single" w:sz="4" w:space="0" w:color="000000"/>
              <w:bottom w:val="single" w:sz="4" w:space="0" w:color="000000"/>
              <w:right w:val="single" w:sz="4" w:space="0" w:color="000000"/>
            </w:tcBorders>
          </w:tcPr>
          <w:p w:rsidR="006D3381" w:rsidRPr="00626C85" w:rsidRDefault="006D3381" w:rsidP="00F10460">
            <w:pPr>
              <w:autoSpaceDE w:val="0"/>
              <w:snapToGrid w:val="0"/>
              <w:spacing w:line="312" w:lineRule="auto"/>
              <w:jc w:val="both"/>
              <w:rPr>
                <w:rFonts w:eastAsia="Arial Unicode MS"/>
                <w:sz w:val="26"/>
                <w:szCs w:val="26"/>
              </w:rPr>
            </w:pPr>
            <w:r w:rsidRPr="00626C85">
              <w:rPr>
                <w:rFonts w:eastAsia="Arial Unicode MS"/>
                <w:sz w:val="26"/>
                <w:szCs w:val="26"/>
              </w:rPr>
              <w:t>15 năm 1 tháng.</w:t>
            </w:r>
          </w:p>
        </w:tc>
      </w:tr>
    </w:tbl>
    <w:p w:rsidR="006D3381" w:rsidRPr="009D6BAB" w:rsidRDefault="00EB1910" w:rsidP="00F10460">
      <w:pPr>
        <w:tabs>
          <w:tab w:val="left" w:pos="1440"/>
        </w:tabs>
        <w:suppressAutoHyphens/>
        <w:autoSpaceDE w:val="0"/>
        <w:spacing w:line="312" w:lineRule="auto"/>
        <w:jc w:val="both"/>
        <w:rPr>
          <w:color w:val="000000"/>
          <w:sz w:val="26"/>
          <w:szCs w:val="26"/>
        </w:rPr>
      </w:pPr>
      <w:r>
        <w:rPr>
          <w:color w:val="000000"/>
          <w:sz w:val="26"/>
          <w:szCs w:val="26"/>
        </w:rPr>
        <w:tab/>
      </w:r>
      <w:r w:rsidR="006D3381" w:rsidRPr="009D6BAB">
        <w:rPr>
          <w:color w:val="000000"/>
          <w:sz w:val="26"/>
          <w:szCs w:val="26"/>
        </w:rPr>
        <w:t>NPV của dự án là dương (+) 12.450 trđ &gt; 0, IRR là 9</w:t>
      </w:r>
      <w:proofErr w:type="gramStart"/>
      <w:r w:rsidR="006D3381" w:rsidRPr="009D6BAB">
        <w:rPr>
          <w:color w:val="000000"/>
          <w:sz w:val="26"/>
          <w:szCs w:val="26"/>
        </w:rPr>
        <w:t>,5</w:t>
      </w:r>
      <w:proofErr w:type="gramEnd"/>
      <w:r w:rsidR="006D3381" w:rsidRPr="009D6BAB">
        <w:rPr>
          <w:color w:val="000000"/>
          <w:sz w:val="26"/>
          <w:szCs w:val="26"/>
        </w:rPr>
        <w:t>%&gt; Suất chiết khấu 8</w:t>
      </w:r>
      <w:proofErr w:type="gramStart"/>
      <w:r w:rsidR="006D3381" w:rsidRPr="009D6BAB">
        <w:rPr>
          <w:color w:val="000000"/>
          <w:sz w:val="26"/>
          <w:szCs w:val="26"/>
        </w:rPr>
        <w:t>,88</w:t>
      </w:r>
      <w:proofErr w:type="gramEnd"/>
      <w:r w:rsidR="006D3381" w:rsidRPr="009D6BAB">
        <w:rPr>
          <w:color w:val="000000"/>
          <w:sz w:val="26"/>
          <w:szCs w:val="26"/>
        </w:rPr>
        <w:t xml:space="preserve">% do đó dự án đầu tư hiệu quả về mặt tài chính. Dự án đầu tư của doanh </w:t>
      </w:r>
      <w:proofErr w:type="gramStart"/>
      <w:r w:rsidR="006D3381" w:rsidRPr="009D6BAB">
        <w:rPr>
          <w:color w:val="000000"/>
          <w:sz w:val="26"/>
          <w:szCs w:val="26"/>
        </w:rPr>
        <w:t>nghiệp  phần</w:t>
      </w:r>
      <w:proofErr w:type="gramEnd"/>
      <w:r w:rsidR="006D3381" w:rsidRPr="009D6BAB">
        <w:rPr>
          <w:color w:val="000000"/>
          <w:sz w:val="26"/>
          <w:szCs w:val="26"/>
        </w:rPr>
        <w:t xml:space="preserve"> nào giải quyết áp lực về cung nguồn ứng khoáng sản. Mặc dù có NPV thấp nhưng ngoài hiệu quả về tài chính, dự </w:t>
      </w:r>
      <w:proofErr w:type="gramStart"/>
      <w:r w:rsidR="006D3381" w:rsidRPr="009D6BAB">
        <w:rPr>
          <w:color w:val="000000"/>
          <w:sz w:val="26"/>
          <w:szCs w:val="26"/>
        </w:rPr>
        <w:t>án</w:t>
      </w:r>
      <w:proofErr w:type="gramEnd"/>
      <w:r w:rsidR="006D3381" w:rsidRPr="009D6BAB">
        <w:rPr>
          <w:color w:val="000000"/>
          <w:sz w:val="26"/>
          <w:szCs w:val="26"/>
        </w:rPr>
        <w:t xml:space="preserve"> còn mang lại hiệu quả đối với nền kinh tế và xã hội, do đó việc đầu tư dự án là rất cần thiết.</w:t>
      </w:r>
    </w:p>
    <w:p w:rsidR="006D3381" w:rsidRPr="009D6BAB" w:rsidRDefault="006D3381" w:rsidP="00F10460">
      <w:pPr>
        <w:tabs>
          <w:tab w:val="left" w:pos="1440"/>
        </w:tabs>
        <w:suppressAutoHyphens/>
        <w:autoSpaceDE w:val="0"/>
        <w:spacing w:line="312" w:lineRule="auto"/>
        <w:jc w:val="both"/>
        <w:rPr>
          <w:color w:val="000000"/>
          <w:sz w:val="26"/>
          <w:szCs w:val="26"/>
        </w:rPr>
      </w:pPr>
      <w:r w:rsidRPr="009D6BAB">
        <w:rPr>
          <w:color w:val="000000"/>
          <w:sz w:val="26"/>
          <w:szCs w:val="26"/>
        </w:rPr>
        <w:t xml:space="preserve">Thời gian hoàn vốn đầu tư có chiết khấu là 15 năm 1 tháng  là phù hợp vì  dự án đầu tư </w:t>
      </w:r>
      <w:r w:rsidRPr="009D6BAB">
        <w:rPr>
          <w:color w:val="000000"/>
          <w:sz w:val="26"/>
          <w:szCs w:val="26"/>
        </w:rPr>
        <w:lastRenderedPageBreak/>
        <w:t>của ngành khai thác khoáng sản điện thường có thời gian thu hồi vốn đầu tư rất dài .</w:t>
      </w:r>
    </w:p>
    <w:p w:rsidR="006D3381" w:rsidRPr="009D6BAB" w:rsidRDefault="00F10460" w:rsidP="00F10460">
      <w:pPr>
        <w:pStyle w:val="Heading3"/>
        <w:shd w:val="clear" w:color="auto" w:fill="FFFFFF"/>
        <w:spacing w:before="0" w:line="312" w:lineRule="auto"/>
        <w:jc w:val="both"/>
        <w:rPr>
          <w:rFonts w:ascii="Times New Roman" w:eastAsia="Calibri" w:hAnsi="Times New Roman"/>
          <w:bCs w:val="0"/>
          <w:color w:val="000000"/>
          <w:sz w:val="26"/>
          <w:szCs w:val="26"/>
        </w:rPr>
      </w:pPr>
      <w:r>
        <w:rPr>
          <w:rFonts w:ascii="Times New Roman" w:eastAsia="Calibri" w:hAnsi="Times New Roman"/>
          <w:bCs w:val="0"/>
          <w:color w:val="000000"/>
          <w:sz w:val="26"/>
          <w:szCs w:val="26"/>
        </w:rPr>
        <w:t>- P</w:t>
      </w:r>
      <w:r w:rsidR="006D3381" w:rsidRPr="009D6BAB">
        <w:rPr>
          <w:rFonts w:ascii="Times New Roman" w:eastAsia="Calibri" w:hAnsi="Times New Roman"/>
          <w:bCs w:val="0"/>
          <w:color w:val="000000"/>
          <w:sz w:val="26"/>
          <w:szCs w:val="26"/>
        </w:rPr>
        <w:t>hân tích tác động đến giá trị</w:t>
      </w:r>
    </w:p>
    <w:p w:rsidR="006D3381" w:rsidRPr="009D6BAB" w:rsidRDefault="006D3381" w:rsidP="00F10460">
      <w:pPr>
        <w:spacing w:line="312" w:lineRule="auto"/>
        <w:ind w:firstLine="720"/>
        <w:jc w:val="both"/>
        <w:rPr>
          <w:color w:val="000000"/>
          <w:sz w:val="26"/>
          <w:szCs w:val="26"/>
        </w:rPr>
      </w:pPr>
      <w:r w:rsidRPr="009D6BAB">
        <w:rPr>
          <w:color w:val="000000"/>
          <w:sz w:val="26"/>
          <w:szCs w:val="26"/>
        </w:rPr>
        <w:t xml:space="preserve">Tính </w:t>
      </w:r>
      <w:proofErr w:type="gramStart"/>
      <w:r w:rsidRPr="009D6BAB">
        <w:rPr>
          <w:color w:val="000000"/>
          <w:sz w:val="26"/>
          <w:szCs w:val="26"/>
        </w:rPr>
        <w:t>toán  rủi</w:t>
      </w:r>
      <w:proofErr w:type="gramEnd"/>
      <w:r w:rsidRPr="009D6BAB">
        <w:rPr>
          <w:color w:val="000000"/>
          <w:sz w:val="26"/>
          <w:szCs w:val="26"/>
        </w:rPr>
        <w:t xml:space="preserve"> ro dựa trên việc phân tích độ nhạy cảm, nhằm xác định những thông số có ảnh hưởng đáng kể đến tính khả thi của dự án và lượng hóa mức độ ảnh hưởng này.  Đồng thời giúp cho doanh nghiệp biết được dự án nhạy cảm với các yếu tố nào hay nói một cách khác, yếu tố nào gây nên sự thay đổi nhiều nhất của chỉ tiêu hiệu quả xem xét để từ đó có biện pháp quản lý chúng trong quá trình thực hiện dự án. </w:t>
      </w:r>
    </w:p>
    <w:p w:rsidR="006D3381" w:rsidRPr="00290170" w:rsidRDefault="006D3381" w:rsidP="00F10460">
      <w:pPr>
        <w:tabs>
          <w:tab w:val="left" w:pos="1440"/>
        </w:tabs>
        <w:suppressAutoHyphens/>
        <w:autoSpaceDE w:val="0"/>
        <w:snapToGrid w:val="0"/>
        <w:spacing w:line="312" w:lineRule="auto"/>
        <w:jc w:val="both"/>
        <w:rPr>
          <w:rFonts w:eastAsia="Arial Unicode MS"/>
          <w:sz w:val="26"/>
          <w:szCs w:val="26"/>
        </w:rPr>
      </w:pPr>
      <w:r w:rsidRPr="00290170">
        <w:rPr>
          <w:rFonts w:eastAsia="Arial Unicode MS"/>
          <w:sz w:val="26"/>
          <w:szCs w:val="26"/>
        </w:rPr>
        <w:t xml:space="preserve">Đối với dự án </w:t>
      </w:r>
      <w:proofErr w:type="gramStart"/>
      <w:r w:rsidRPr="00290170">
        <w:rPr>
          <w:rFonts w:eastAsia="Arial Unicode MS"/>
          <w:sz w:val="26"/>
          <w:szCs w:val="26"/>
        </w:rPr>
        <w:t>trên ,khảo</w:t>
      </w:r>
      <w:proofErr w:type="gramEnd"/>
      <w:r w:rsidRPr="00290170">
        <w:rPr>
          <w:rFonts w:eastAsia="Arial Unicode MS"/>
          <w:sz w:val="26"/>
          <w:szCs w:val="26"/>
        </w:rPr>
        <w:t xml:space="preserve"> sát độ nhạy của dự án với các thông số dễ biến động: Tổng mức đầu tư và giá bán.</w:t>
      </w:r>
    </w:p>
    <w:p w:rsidR="006D3381" w:rsidRPr="00290170" w:rsidRDefault="006D3381" w:rsidP="00F10460">
      <w:pPr>
        <w:tabs>
          <w:tab w:val="left" w:pos="2138"/>
        </w:tabs>
        <w:suppressAutoHyphens/>
        <w:autoSpaceDE w:val="0"/>
        <w:spacing w:line="312" w:lineRule="auto"/>
        <w:jc w:val="both"/>
        <w:rPr>
          <w:rFonts w:eastAsia="Arial Unicode MS"/>
          <w:sz w:val="26"/>
          <w:szCs w:val="26"/>
        </w:rPr>
      </w:pPr>
      <w:r w:rsidRPr="00290170">
        <w:rPr>
          <w:rFonts w:eastAsia="Arial Unicode MS"/>
          <w:sz w:val="26"/>
          <w:szCs w:val="26"/>
        </w:rPr>
        <w:t>Trường hợp 1: Tổng dự toán tăng đến 4</w:t>
      </w:r>
      <w:proofErr w:type="gramStart"/>
      <w:r w:rsidRPr="00290170">
        <w:rPr>
          <w:rFonts w:eastAsia="Arial Unicode MS"/>
          <w:sz w:val="26"/>
          <w:szCs w:val="26"/>
        </w:rPr>
        <w:t>,6</w:t>
      </w:r>
      <w:proofErr w:type="gramEnd"/>
      <w:r w:rsidRPr="00290170">
        <w:rPr>
          <w:rFonts w:eastAsia="Arial Unicode MS"/>
          <w:sz w:val="26"/>
          <w:szCs w:val="26"/>
        </w:rPr>
        <w:t>% (277.945 trđ)</w:t>
      </w:r>
    </w:p>
    <w:p w:rsidR="006D3381" w:rsidRPr="00290170" w:rsidRDefault="006D3381" w:rsidP="00F10460">
      <w:pPr>
        <w:tabs>
          <w:tab w:val="left" w:pos="2138"/>
        </w:tabs>
        <w:suppressAutoHyphens/>
        <w:autoSpaceDE w:val="0"/>
        <w:spacing w:line="312" w:lineRule="auto"/>
        <w:jc w:val="both"/>
        <w:rPr>
          <w:rFonts w:eastAsia="Arial Unicode MS"/>
          <w:sz w:val="26"/>
          <w:szCs w:val="26"/>
        </w:rPr>
      </w:pPr>
      <w:r w:rsidRPr="00290170">
        <w:rPr>
          <w:rFonts w:eastAsia="Arial Unicode MS"/>
          <w:sz w:val="26"/>
          <w:szCs w:val="26"/>
        </w:rPr>
        <w:t>Trường hợp 2: Giá bán giảm 5</w:t>
      </w:r>
      <w:proofErr w:type="gramStart"/>
      <w:r w:rsidRPr="00290170">
        <w:rPr>
          <w:rFonts w:eastAsia="Arial Unicode MS"/>
          <w:sz w:val="26"/>
          <w:szCs w:val="26"/>
        </w:rPr>
        <w:t>,7</w:t>
      </w:r>
      <w:proofErr w:type="gramEnd"/>
      <w:r w:rsidRPr="00290170">
        <w:rPr>
          <w:rFonts w:eastAsia="Arial Unicode MS"/>
          <w:sz w:val="26"/>
          <w:szCs w:val="26"/>
        </w:rPr>
        <w:t xml:space="preserve">% </w:t>
      </w:r>
    </w:p>
    <w:p w:rsidR="006D3381" w:rsidRDefault="006D3381" w:rsidP="00F10460">
      <w:pPr>
        <w:tabs>
          <w:tab w:val="left" w:pos="1440"/>
        </w:tabs>
        <w:suppressAutoHyphens/>
        <w:autoSpaceDE w:val="0"/>
        <w:spacing w:line="312" w:lineRule="auto"/>
        <w:jc w:val="both"/>
        <w:rPr>
          <w:rFonts w:eastAsia="Arial Unicode MS"/>
          <w:sz w:val="26"/>
          <w:szCs w:val="26"/>
        </w:rPr>
      </w:pPr>
      <w:r w:rsidRPr="00290170">
        <w:rPr>
          <w:rFonts w:eastAsia="Arial Unicode MS"/>
          <w:sz w:val="26"/>
          <w:szCs w:val="26"/>
        </w:rPr>
        <w:t>Dự án chỉ không có hiệu quả trong trường hợp Tổng dự toán tăng hơn 5% đồng thời nguồn cung  giảm hơn 6%; hoặc giá bán giảm hơn 6% đồng thời nguồn cung  giảm hơn 6%.</w:t>
      </w:r>
      <w:r w:rsidR="00EB1910">
        <w:rPr>
          <w:rFonts w:eastAsia="Arial Unicode MS"/>
          <w:sz w:val="26"/>
          <w:szCs w:val="26"/>
        </w:rPr>
        <w:t xml:space="preserve"> </w:t>
      </w:r>
      <w:r w:rsidRPr="00290170">
        <w:rPr>
          <w:rFonts w:eastAsia="Arial Unicode MS"/>
          <w:sz w:val="26"/>
          <w:szCs w:val="26"/>
        </w:rPr>
        <w:t>Phân tích độ nhạy cho thấ</w:t>
      </w:r>
      <w:r w:rsidR="00EB1910">
        <w:rPr>
          <w:rFonts w:eastAsia="Arial Unicode MS"/>
          <w:sz w:val="26"/>
          <w:szCs w:val="26"/>
        </w:rPr>
        <w:t>y d</w:t>
      </w:r>
      <w:r w:rsidRPr="00290170">
        <w:rPr>
          <w:rFonts w:eastAsia="Arial Unicode MS"/>
          <w:sz w:val="26"/>
          <w:szCs w:val="26"/>
        </w:rPr>
        <w:t xml:space="preserve">ự </w:t>
      </w:r>
      <w:proofErr w:type="gramStart"/>
      <w:r w:rsidRPr="00290170">
        <w:rPr>
          <w:rFonts w:eastAsia="Arial Unicode MS"/>
          <w:sz w:val="26"/>
          <w:szCs w:val="26"/>
        </w:rPr>
        <w:t>án</w:t>
      </w:r>
      <w:proofErr w:type="gramEnd"/>
      <w:r w:rsidRPr="00290170">
        <w:rPr>
          <w:rFonts w:eastAsia="Arial Unicode MS"/>
          <w:sz w:val="26"/>
          <w:szCs w:val="26"/>
        </w:rPr>
        <w:t xml:space="preserve"> khá nhạy cảm với 02 thông số là Tổng mức đầu tư, giá. Tuy nhiên giá bán khoáng sản  thời gian tới dự kiến sẽ tăng, tổng dự toán có thể tăng do chỉ số tăng giá của các vật tư, nhưng khả năng nguồn cung  giảm hơn 6% là khó xảy ra, do đó rủi ro của dự án thấp.</w:t>
      </w:r>
    </w:p>
    <w:p w:rsidR="006D3381" w:rsidRPr="009D6BAB" w:rsidRDefault="00EB1910" w:rsidP="00F10460">
      <w:pPr>
        <w:pStyle w:val="Heading3"/>
        <w:shd w:val="clear" w:color="auto" w:fill="FFFFFF"/>
        <w:spacing w:before="0" w:line="312" w:lineRule="auto"/>
        <w:jc w:val="both"/>
        <w:rPr>
          <w:rFonts w:ascii="Times New Roman" w:hAnsi="Times New Roman"/>
          <w:bCs w:val="0"/>
          <w:color w:val="000000"/>
          <w:sz w:val="26"/>
          <w:szCs w:val="26"/>
        </w:rPr>
      </w:pPr>
      <w:r>
        <w:rPr>
          <w:rFonts w:ascii="Times New Roman" w:hAnsi="Times New Roman"/>
          <w:bCs w:val="0"/>
          <w:color w:val="000000"/>
          <w:sz w:val="26"/>
          <w:szCs w:val="26"/>
        </w:rPr>
        <w:t xml:space="preserve">- </w:t>
      </w:r>
      <w:r w:rsidR="00F10460">
        <w:rPr>
          <w:rFonts w:ascii="Times New Roman" w:hAnsi="Times New Roman"/>
          <w:bCs w:val="0"/>
          <w:color w:val="000000"/>
          <w:sz w:val="26"/>
          <w:szCs w:val="26"/>
        </w:rPr>
        <w:t>G</w:t>
      </w:r>
      <w:r w:rsidR="006D3381" w:rsidRPr="009D6BAB">
        <w:rPr>
          <w:rFonts w:ascii="Times New Roman" w:hAnsi="Times New Roman"/>
          <w:bCs w:val="0"/>
          <w:color w:val="000000"/>
          <w:sz w:val="26"/>
          <w:szCs w:val="26"/>
        </w:rPr>
        <w:t>iá trị tạo lập niềm tin</w:t>
      </w:r>
    </w:p>
    <w:p w:rsidR="006D3381" w:rsidRPr="00B5279A" w:rsidRDefault="00F10460" w:rsidP="00F10460">
      <w:pPr>
        <w:tabs>
          <w:tab w:val="left" w:pos="1440"/>
        </w:tabs>
        <w:suppressAutoHyphens/>
        <w:autoSpaceDE w:val="0"/>
        <w:spacing w:line="312" w:lineRule="auto"/>
        <w:jc w:val="both"/>
        <w:rPr>
          <w:color w:val="000000"/>
          <w:sz w:val="26"/>
          <w:szCs w:val="26"/>
        </w:rPr>
      </w:pPr>
      <w:r>
        <w:rPr>
          <w:color w:val="000000"/>
          <w:sz w:val="26"/>
          <w:szCs w:val="26"/>
        </w:rPr>
        <w:t xml:space="preserve">          </w:t>
      </w:r>
      <w:r w:rsidR="006D3381" w:rsidRPr="00B5279A">
        <w:rPr>
          <w:color w:val="000000"/>
          <w:sz w:val="26"/>
          <w:szCs w:val="26"/>
        </w:rPr>
        <w:t>Doanh nghiệp cần cân nhắc về thông tin phi tài chính như:  thị trường đầu vào, đối thủ cạnh tranh</w:t>
      </w:r>
      <w:proofErr w:type="gramStart"/>
      <w:r w:rsidR="006D3381" w:rsidRPr="00B5279A">
        <w:rPr>
          <w:color w:val="000000"/>
          <w:sz w:val="26"/>
          <w:szCs w:val="26"/>
        </w:rPr>
        <w:t>,kênh</w:t>
      </w:r>
      <w:proofErr w:type="gramEnd"/>
      <w:r w:rsidR="006D3381" w:rsidRPr="00B5279A">
        <w:rPr>
          <w:color w:val="000000"/>
          <w:sz w:val="26"/>
          <w:szCs w:val="26"/>
        </w:rPr>
        <w:t xml:space="preserve"> phân phối sản phẩm… để hình thành việc phân tích lợi –ích chi phí một cách toàn diện  của các quyết định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3"/>
        <w:gridCol w:w="3191"/>
      </w:tblGrid>
      <w:tr w:rsidR="006D3381" w:rsidRPr="00B5279A" w:rsidTr="001A6227">
        <w:tc>
          <w:tcPr>
            <w:tcW w:w="1667" w:type="pct"/>
            <w:shd w:val="clear" w:color="auto" w:fill="auto"/>
          </w:tcPr>
          <w:p w:rsidR="006D3381" w:rsidRPr="00AE0232" w:rsidRDefault="006D3381" w:rsidP="00F10460">
            <w:pPr>
              <w:tabs>
                <w:tab w:val="left" w:pos="2119"/>
              </w:tabs>
              <w:spacing w:line="312" w:lineRule="auto"/>
              <w:jc w:val="both"/>
              <w:rPr>
                <w:b/>
                <w:sz w:val="26"/>
                <w:szCs w:val="26"/>
              </w:rPr>
            </w:pPr>
            <w:r w:rsidRPr="00AE0232">
              <w:rPr>
                <w:b/>
                <w:sz w:val="26"/>
                <w:szCs w:val="26"/>
              </w:rPr>
              <w:t>Kênh phân phối</w:t>
            </w:r>
            <w:r w:rsidRPr="00AE0232">
              <w:rPr>
                <w:b/>
                <w:sz w:val="26"/>
                <w:szCs w:val="26"/>
              </w:rPr>
              <w:tab/>
            </w:r>
          </w:p>
        </w:tc>
        <w:tc>
          <w:tcPr>
            <w:tcW w:w="1667" w:type="pct"/>
            <w:shd w:val="clear" w:color="auto" w:fill="auto"/>
          </w:tcPr>
          <w:p w:rsidR="006D3381" w:rsidRPr="00AE0232" w:rsidRDefault="006D3381" w:rsidP="00F10460">
            <w:pPr>
              <w:spacing w:line="312" w:lineRule="auto"/>
              <w:jc w:val="both"/>
              <w:rPr>
                <w:b/>
                <w:sz w:val="26"/>
                <w:szCs w:val="26"/>
              </w:rPr>
            </w:pPr>
            <w:r w:rsidRPr="00AE0232">
              <w:rPr>
                <w:b/>
                <w:sz w:val="26"/>
                <w:szCs w:val="26"/>
              </w:rPr>
              <w:t>% so với tổng doanh thu</w:t>
            </w:r>
          </w:p>
        </w:tc>
        <w:tc>
          <w:tcPr>
            <w:tcW w:w="1667" w:type="pct"/>
            <w:shd w:val="clear" w:color="auto" w:fill="auto"/>
          </w:tcPr>
          <w:p w:rsidR="006D3381" w:rsidRPr="00AE0232" w:rsidRDefault="006D3381" w:rsidP="00F10460">
            <w:pPr>
              <w:spacing w:line="312" w:lineRule="auto"/>
              <w:jc w:val="both"/>
              <w:rPr>
                <w:b/>
                <w:sz w:val="26"/>
                <w:szCs w:val="26"/>
              </w:rPr>
            </w:pPr>
            <w:r w:rsidRPr="00AE0232">
              <w:rPr>
                <w:b/>
                <w:sz w:val="26"/>
                <w:szCs w:val="26"/>
              </w:rPr>
              <w:t>Xu hướng tăng, giảm</w:t>
            </w:r>
          </w:p>
        </w:tc>
      </w:tr>
      <w:tr w:rsidR="006D3381" w:rsidRPr="00B5279A" w:rsidTr="001A6227">
        <w:tc>
          <w:tcPr>
            <w:tcW w:w="1667" w:type="pct"/>
            <w:shd w:val="clear" w:color="auto" w:fill="auto"/>
          </w:tcPr>
          <w:p w:rsidR="006D3381" w:rsidRPr="00B5279A" w:rsidRDefault="006D3381" w:rsidP="00F10460">
            <w:pPr>
              <w:spacing w:line="312" w:lineRule="auto"/>
              <w:jc w:val="both"/>
              <w:rPr>
                <w:sz w:val="26"/>
                <w:szCs w:val="26"/>
              </w:rPr>
            </w:pPr>
            <w:r w:rsidRPr="00B5279A">
              <w:rPr>
                <w:sz w:val="26"/>
                <w:szCs w:val="26"/>
              </w:rPr>
              <w:t>Cung cấp trực tiếp cho khách hàng</w:t>
            </w:r>
          </w:p>
        </w:tc>
        <w:tc>
          <w:tcPr>
            <w:tcW w:w="1667" w:type="pct"/>
            <w:shd w:val="clear" w:color="auto" w:fill="auto"/>
          </w:tcPr>
          <w:p w:rsidR="006D3381" w:rsidRPr="00B5279A" w:rsidRDefault="006D3381" w:rsidP="00F10460">
            <w:pPr>
              <w:spacing w:line="312" w:lineRule="auto"/>
              <w:jc w:val="both"/>
              <w:rPr>
                <w:sz w:val="26"/>
                <w:szCs w:val="26"/>
              </w:rPr>
            </w:pPr>
            <w:r w:rsidRPr="00B5279A">
              <w:rPr>
                <w:sz w:val="26"/>
                <w:szCs w:val="26"/>
              </w:rPr>
              <w:t>90%</w:t>
            </w:r>
          </w:p>
        </w:tc>
        <w:tc>
          <w:tcPr>
            <w:tcW w:w="1667" w:type="pct"/>
            <w:shd w:val="clear" w:color="auto" w:fill="auto"/>
          </w:tcPr>
          <w:p w:rsidR="006D3381" w:rsidRPr="00B5279A" w:rsidRDefault="006D3381" w:rsidP="00F10460">
            <w:pPr>
              <w:spacing w:line="312" w:lineRule="auto"/>
              <w:jc w:val="both"/>
              <w:rPr>
                <w:sz w:val="26"/>
                <w:szCs w:val="26"/>
              </w:rPr>
            </w:pPr>
            <w:r w:rsidRPr="00B5279A">
              <w:rPr>
                <w:sz w:val="26"/>
                <w:szCs w:val="26"/>
              </w:rPr>
              <w:t>Tăng</w:t>
            </w:r>
          </w:p>
        </w:tc>
      </w:tr>
      <w:tr w:rsidR="006D3381" w:rsidRPr="00B5279A" w:rsidTr="001A6227">
        <w:tc>
          <w:tcPr>
            <w:tcW w:w="1667" w:type="pct"/>
            <w:shd w:val="clear" w:color="auto" w:fill="auto"/>
          </w:tcPr>
          <w:p w:rsidR="006D3381" w:rsidRPr="00B5279A" w:rsidRDefault="006D3381" w:rsidP="00F10460">
            <w:pPr>
              <w:spacing w:line="312" w:lineRule="auto"/>
              <w:jc w:val="both"/>
              <w:rPr>
                <w:sz w:val="26"/>
                <w:szCs w:val="26"/>
              </w:rPr>
            </w:pPr>
            <w:r w:rsidRPr="00B5279A">
              <w:rPr>
                <w:sz w:val="26"/>
                <w:szCs w:val="26"/>
              </w:rPr>
              <w:t>Bán lẻ</w:t>
            </w:r>
          </w:p>
        </w:tc>
        <w:tc>
          <w:tcPr>
            <w:tcW w:w="1667" w:type="pct"/>
            <w:shd w:val="clear" w:color="auto" w:fill="auto"/>
          </w:tcPr>
          <w:p w:rsidR="006D3381" w:rsidRPr="00B5279A" w:rsidRDefault="006D3381" w:rsidP="00F10460">
            <w:pPr>
              <w:spacing w:line="312" w:lineRule="auto"/>
              <w:jc w:val="both"/>
              <w:rPr>
                <w:sz w:val="26"/>
                <w:szCs w:val="26"/>
              </w:rPr>
            </w:pPr>
            <w:r w:rsidRPr="00B5279A">
              <w:rPr>
                <w:sz w:val="26"/>
                <w:szCs w:val="26"/>
              </w:rPr>
              <w:t>10%</w:t>
            </w:r>
          </w:p>
        </w:tc>
        <w:tc>
          <w:tcPr>
            <w:tcW w:w="1667" w:type="pct"/>
            <w:shd w:val="clear" w:color="auto" w:fill="auto"/>
          </w:tcPr>
          <w:p w:rsidR="006D3381" w:rsidRPr="00B5279A" w:rsidRDefault="006D3381" w:rsidP="00F10460">
            <w:pPr>
              <w:spacing w:line="312" w:lineRule="auto"/>
              <w:jc w:val="both"/>
              <w:rPr>
                <w:sz w:val="26"/>
                <w:szCs w:val="26"/>
              </w:rPr>
            </w:pPr>
            <w:r w:rsidRPr="00B5279A">
              <w:rPr>
                <w:sz w:val="26"/>
                <w:szCs w:val="26"/>
              </w:rPr>
              <w:t>Tăng</w:t>
            </w:r>
          </w:p>
        </w:tc>
      </w:tr>
    </w:tbl>
    <w:p w:rsidR="006D3381" w:rsidRDefault="006D3381" w:rsidP="00C60007">
      <w:pPr>
        <w:spacing w:line="312" w:lineRule="auto"/>
        <w:ind w:firstLine="360"/>
        <w:jc w:val="both"/>
        <w:rPr>
          <w:sz w:val="26"/>
          <w:szCs w:val="26"/>
        </w:rPr>
      </w:pPr>
      <w:r w:rsidRPr="00B5279A">
        <w:rPr>
          <w:sz w:val="26"/>
          <w:szCs w:val="26"/>
        </w:rPr>
        <w:t xml:space="preserve">Sau khi được cấp phép khai thác khoáng sản tại các mỏ than, mỏ đá, công ty đã ký hợp đồng với các đơn vị khác trực tiếp đứng ra khai thác, sau đó Công ty sẽ đứng ra thu mua tại mỏ, sau đó vận chuyển trực tiếp cho bên mua. </w:t>
      </w:r>
      <w:proofErr w:type="gramStart"/>
      <w:r w:rsidRPr="00B5279A">
        <w:rPr>
          <w:sz w:val="26"/>
          <w:szCs w:val="26"/>
        </w:rPr>
        <w:t>Ngoài nhứng khách hàng trên thì công ty còn bản lẻ cho một số đối tương khách hàng trong khách hàng khu vực, nhưng tỷ lệ không đáng kể.</w:t>
      </w:r>
      <w:proofErr w:type="gramEnd"/>
      <w:r w:rsidRPr="00B5279A">
        <w:rPr>
          <w:sz w:val="26"/>
          <w:szCs w:val="26"/>
        </w:rPr>
        <w:t xml:space="preserve"> </w:t>
      </w:r>
      <w:proofErr w:type="gramStart"/>
      <w:r w:rsidRPr="00B5279A">
        <w:rPr>
          <w:sz w:val="26"/>
          <w:szCs w:val="26"/>
        </w:rPr>
        <w:t>Mạng lưới hoạt động của công ty chủ yếu là khu vực miền Trung và các tỉnh Tây Nguyên.</w:t>
      </w:r>
      <w:proofErr w:type="gramEnd"/>
    </w:p>
    <w:p w:rsidR="006B499B" w:rsidRDefault="006B499B" w:rsidP="00C60007">
      <w:pPr>
        <w:spacing w:line="312" w:lineRule="auto"/>
        <w:ind w:firstLine="360"/>
        <w:jc w:val="both"/>
        <w:rPr>
          <w:sz w:val="26"/>
          <w:szCs w:val="26"/>
        </w:rPr>
      </w:pPr>
    </w:p>
    <w:p w:rsidR="006B499B" w:rsidRDefault="006B499B" w:rsidP="00C60007">
      <w:pPr>
        <w:spacing w:line="312" w:lineRule="auto"/>
        <w:ind w:firstLine="360"/>
        <w:jc w:val="both"/>
        <w:rPr>
          <w:sz w:val="26"/>
          <w:szCs w:val="26"/>
        </w:rPr>
      </w:pPr>
    </w:p>
    <w:p w:rsidR="006B499B" w:rsidRPr="00B5279A" w:rsidRDefault="006B499B" w:rsidP="00C60007">
      <w:pPr>
        <w:spacing w:line="312" w:lineRule="auto"/>
        <w:ind w:firstLine="360"/>
        <w:jc w:val="both"/>
        <w:rPr>
          <w:sz w:val="26"/>
          <w:szCs w:val="26"/>
        </w:rPr>
      </w:pPr>
    </w:p>
    <w:p w:rsidR="006D3381" w:rsidRPr="00B5279A" w:rsidRDefault="006D3381" w:rsidP="00F10460">
      <w:pPr>
        <w:spacing w:line="312" w:lineRule="auto"/>
        <w:ind w:left="360"/>
        <w:jc w:val="both"/>
        <w:rPr>
          <w:sz w:val="26"/>
          <w:szCs w:val="26"/>
        </w:rPr>
      </w:pPr>
      <w:r w:rsidRPr="00B5279A">
        <w:rPr>
          <w:sz w:val="26"/>
          <w:szCs w:val="26"/>
        </w:rPr>
        <w:t>Hàng hoá, nguyên vật liệu và các nhà cung cấp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626"/>
        <w:gridCol w:w="2214"/>
      </w:tblGrid>
      <w:tr w:rsidR="006D3381" w:rsidRPr="00B5279A" w:rsidTr="006B499B">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Khoản mục</w:t>
            </w:r>
          </w:p>
        </w:tc>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Ước lượng số lượng sử dụng</w:t>
            </w:r>
          </w:p>
        </w:tc>
        <w:tc>
          <w:tcPr>
            <w:tcW w:w="2626" w:type="dxa"/>
            <w:shd w:val="clear" w:color="auto" w:fill="auto"/>
          </w:tcPr>
          <w:p w:rsidR="006D3381" w:rsidRPr="00B5279A" w:rsidRDefault="006D3381" w:rsidP="00F10460">
            <w:pPr>
              <w:spacing w:line="312" w:lineRule="auto"/>
              <w:jc w:val="both"/>
              <w:rPr>
                <w:sz w:val="26"/>
                <w:szCs w:val="26"/>
              </w:rPr>
            </w:pPr>
            <w:r w:rsidRPr="00B5279A">
              <w:rPr>
                <w:sz w:val="26"/>
                <w:szCs w:val="26"/>
              </w:rPr>
              <w:t>Nhà cung cấp</w:t>
            </w:r>
          </w:p>
        </w:tc>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Trong nước hoặc nhập khẩu</w:t>
            </w:r>
          </w:p>
        </w:tc>
      </w:tr>
      <w:tr w:rsidR="006D3381" w:rsidRPr="00B5279A" w:rsidTr="006B499B">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Khai thác than</w:t>
            </w:r>
          </w:p>
        </w:tc>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29000 tấn/năm</w:t>
            </w:r>
          </w:p>
        </w:tc>
        <w:tc>
          <w:tcPr>
            <w:tcW w:w="2626" w:type="dxa"/>
            <w:shd w:val="clear" w:color="auto" w:fill="auto"/>
          </w:tcPr>
          <w:p w:rsidR="006D3381" w:rsidRPr="00B5279A" w:rsidRDefault="006D3381" w:rsidP="00F10460">
            <w:pPr>
              <w:spacing w:line="312" w:lineRule="auto"/>
              <w:jc w:val="both"/>
              <w:rPr>
                <w:sz w:val="26"/>
                <w:szCs w:val="26"/>
              </w:rPr>
            </w:pPr>
            <w:r w:rsidRPr="00B5279A">
              <w:rPr>
                <w:sz w:val="26"/>
                <w:szCs w:val="26"/>
              </w:rPr>
              <w:t>Mỏ than của công ty được UBND huyện Đại Lộc, Tỉnh Quảng Nam cấp vùng đất khai thác vào ngày 12/09/2006 tại núi Ngọc Kinh, xã Đại Hồng, huyện Đại Lộc</w:t>
            </w:r>
          </w:p>
        </w:tc>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Trong nước</w:t>
            </w:r>
          </w:p>
        </w:tc>
      </w:tr>
      <w:tr w:rsidR="006D3381" w:rsidRPr="00B5279A" w:rsidTr="006B499B">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Khai thác đá</w:t>
            </w:r>
          </w:p>
        </w:tc>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60.000 tấn/ năm</w:t>
            </w:r>
          </w:p>
        </w:tc>
        <w:tc>
          <w:tcPr>
            <w:tcW w:w="2626" w:type="dxa"/>
            <w:shd w:val="clear" w:color="auto" w:fill="auto"/>
          </w:tcPr>
          <w:p w:rsidR="006D3381" w:rsidRPr="00B5279A" w:rsidRDefault="006D3381" w:rsidP="00F10460">
            <w:pPr>
              <w:spacing w:line="312" w:lineRule="auto"/>
              <w:jc w:val="both"/>
              <w:rPr>
                <w:sz w:val="26"/>
                <w:szCs w:val="26"/>
              </w:rPr>
            </w:pPr>
            <w:r w:rsidRPr="00B5279A">
              <w:rPr>
                <w:sz w:val="26"/>
                <w:szCs w:val="26"/>
              </w:rPr>
              <w:t>Mỏ đá công ty khai thác được UBND huyện Minh Hoá cho phép khai thác vào ngày 30/08/2006 tại xã Thượng Hoá, huyện Minh hoá , tỉnh Quảng Bình</w:t>
            </w:r>
          </w:p>
        </w:tc>
        <w:tc>
          <w:tcPr>
            <w:tcW w:w="2214" w:type="dxa"/>
            <w:shd w:val="clear" w:color="auto" w:fill="auto"/>
          </w:tcPr>
          <w:p w:rsidR="006D3381" w:rsidRPr="00B5279A" w:rsidRDefault="006D3381" w:rsidP="00F10460">
            <w:pPr>
              <w:spacing w:line="312" w:lineRule="auto"/>
              <w:jc w:val="both"/>
              <w:rPr>
                <w:sz w:val="26"/>
                <w:szCs w:val="26"/>
              </w:rPr>
            </w:pPr>
            <w:r w:rsidRPr="00B5279A">
              <w:rPr>
                <w:sz w:val="26"/>
                <w:szCs w:val="26"/>
              </w:rPr>
              <w:t>Trong nước</w:t>
            </w:r>
          </w:p>
        </w:tc>
      </w:tr>
    </w:tbl>
    <w:p w:rsidR="006D3381" w:rsidRDefault="006D3381" w:rsidP="00C60007">
      <w:pPr>
        <w:spacing w:line="312" w:lineRule="auto"/>
        <w:ind w:firstLine="720"/>
        <w:jc w:val="both"/>
        <w:rPr>
          <w:sz w:val="26"/>
          <w:szCs w:val="26"/>
        </w:rPr>
      </w:pPr>
      <w:r w:rsidRPr="00B5279A">
        <w:rPr>
          <w:sz w:val="26"/>
          <w:szCs w:val="26"/>
        </w:rPr>
        <w:t xml:space="preserve">Hiện nay nhu cầu xây dựng trong thành phố Đà Nẵng ngày càng nâng cao, đi </w:t>
      </w:r>
      <w:proofErr w:type="gramStart"/>
      <w:r w:rsidRPr="00B5279A">
        <w:rPr>
          <w:sz w:val="26"/>
          <w:szCs w:val="26"/>
        </w:rPr>
        <w:t>theo</w:t>
      </w:r>
      <w:proofErr w:type="gramEnd"/>
      <w:r w:rsidRPr="00B5279A">
        <w:rPr>
          <w:sz w:val="26"/>
          <w:szCs w:val="26"/>
        </w:rPr>
        <w:t xml:space="preserve"> đó là nhu cầu về vật liệu xây dựng cũng gia tăng theo, đây cũng là một nghành kinh doanh đầy tiềm năng. Đầu vào cung cấp cho các công ty là những doanh nghiệp nổi tiếng, có uy tín lâu năm trên thị trường vật liệu xây dựng như: Công ty Minh Toàn, Cửa hàng Phương Thuỳ, Cửa hàng Anh Khôi… </w:t>
      </w:r>
      <w:proofErr w:type="gramStart"/>
      <w:r w:rsidRPr="00B5279A">
        <w:rPr>
          <w:sz w:val="26"/>
          <w:szCs w:val="26"/>
        </w:rPr>
        <w:t>Mỏ than của công ty được UBND huyện Đại Lộc, tỉnh Quảng Nam cấp phép.</w:t>
      </w:r>
      <w:proofErr w:type="gramEnd"/>
      <w:r w:rsidRPr="00B5279A">
        <w:rPr>
          <w:sz w:val="26"/>
          <w:szCs w:val="26"/>
        </w:rPr>
        <w:t xml:space="preserve"> </w:t>
      </w:r>
      <w:proofErr w:type="gramStart"/>
      <w:r w:rsidRPr="00B5279A">
        <w:rPr>
          <w:sz w:val="26"/>
          <w:szCs w:val="26"/>
        </w:rPr>
        <w:t>Qua đó công ty được chủ động đầu tư và khai thác trong vòng 3 năm kể từ thàng 09/2006.</w:t>
      </w:r>
      <w:proofErr w:type="gramEnd"/>
      <w:r w:rsidRPr="00B5279A">
        <w:rPr>
          <w:sz w:val="26"/>
          <w:szCs w:val="26"/>
        </w:rPr>
        <w:t xml:space="preserve"> </w:t>
      </w:r>
      <w:proofErr w:type="gramStart"/>
      <w:r w:rsidRPr="00B5279A">
        <w:rPr>
          <w:sz w:val="26"/>
          <w:szCs w:val="26"/>
        </w:rPr>
        <w:t>Sau  khi</w:t>
      </w:r>
      <w:proofErr w:type="gramEnd"/>
      <w:r w:rsidRPr="00B5279A">
        <w:rPr>
          <w:sz w:val="26"/>
          <w:szCs w:val="26"/>
        </w:rPr>
        <w:t xml:space="preserve"> được cấp giấy phếp khai thác, công ty ký hợp đông với các chủ lò về số lượng, chủng loại, khối lượng để đứng ra khai thác các lò than này. </w:t>
      </w:r>
      <w:proofErr w:type="gramStart"/>
      <w:r w:rsidRPr="00B5279A">
        <w:rPr>
          <w:sz w:val="26"/>
          <w:szCs w:val="26"/>
        </w:rPr>
        <w:t>Sản phẩm khai thác ra lò, sau đó vận chuyển tới người mua.</w:t>
      </w:r>
      <w:proofErr w:type="gramEnd"/>
      <w:r w:rsidRPr="00B5279A">
        <w:rPr>
          <w:sz w:val="26"/>
          <w:szCs w:val="26"/>
        </w:rPr>
        <w:t xml:space="preserve"> </w:t>
      </w:r>
      <w:proofErr w:type="gramStart"/>
      <w:r w:rsidRPr="00B5279A">
        <w:rPr>
          <w:sz w:val="26"/>
          <w:szCs w:val="26"/>
        </w:rPr>
        <w:t>Sản lượng khai thác hàng tháng tại mỏ than khoảng 2.400m3, hàng năm công ty dự tính khai thác than đá khoảng 29.000m3.</w:t>
      </w:r>
      <w:proofErr w:type="gramEnd"/>
    </w:p>
    <w:p w:rsidR="00F03EFD" w:rsidRPr="00CD6D31" w:rsidRDefault="00F03EFD" w:rsidP="00F03EFD">
      <w:pPr>
        <w:tabs>
          <w:tab w:val="left" w:pos="720"/>
        </w:tabs>
        <w:spacing w:line="264" w:lineRule="auto"/>
        <w:jc w:val="both"/>
        <w:rPr>
          <w:b/>
          <w:color w:val="000000"/>
          <w:sz w:val="28"/>
          <w:szCs w:val="28"/>
        </w:rPr>
      </w:pPr>
      <w:r w:rsidRPr="00CD6D31">
        <w:rPr>
          <w:color w:val="000000"/>
          <w:sz w:val="28"/>
          <w:szCs w:val="28"/>
        </w:rPr>
        <w:t>KẾT LUẬN</w:t>
      </w:r>
    </w:p>
    <w:p w:rsidR="00F03EFD" w:rsidRPr="00CD6D31" w:rsidRDefault="00F03EFD" w:rsidP="00F03EFD">
      <w:pPr>
        <w:spacing w:line="264" w:lineRule="auto"/>
        <w:jc w:val="both"/>
        <w:rPr>
          <w:b/>
          <w:color w:val="000000"/>
          <w:sz w:val="28"/>
          <w:szCs w:val="28"/>
          <w:bdr w:val="none" w:sz="0" w:space="0" w:color="auto" w:frame="1"/>
        </w:rPr>
      </w:pPr>
      <w:r w:rsidRPr="00CD6D31">
        <w:rPr>
          <w:b/>
          <w:color w:val="000000"/>
          <w:sz w:val="28"/>
          <w:szCs w:val="28"/>
        </w:rPr>
        <w:t xml:space="preserve">     </w:t>
      </w:r>
      <w:r w:rsidRPr="00CD6D31">
        <w:rPr>
          <w:color w:val="000000"/>
          <w:sz w:val="28"/>
          <w:szCs w:val="28"/>
          <w:shd w:val="clear" w:color="auto" w:fill="FFFFFF"/>
        </w:rPr>
        <w:t xml:space="preserve">KTQTCL </w:t>
      </w:r>
      <w:r w:rsidR="003D6F8B">
        <w:rPr>
          <w:color w:val="000000"/>
          <w:sz w:val="28"/>
          <w:szCs w:val="28"/>
          <w:shd w:val="clear" w:color="auto" w:fill="FFFFFF"/>
        </w:rPr>
        <w:t xml:space="preserve">đầu tư </w:t>
      </w:r>
      <w:r w:rsidRPr="00CD6D31">
        <w:rPr>
          <w:color w:val="000000"/>
          <w:sz w:val="28"/>
          <w:szCs w:val="28"/>
          <w:shd w:val="clear" w:color="auto" w:fill="FFFFFF"/>
        </w:rPr>
        <w:t xml:space="preserve">là hệ thống thông tin KTQT được dùng để hỗ trợ nhà quản trị </w:t>
      </w:r>
      <w:r w:rsidRPr="00CD6D31">
        <w:rPr>
          <w:color w:val="000000"/>
          <w:sz w:val="28"/>
          <w:szCs w:val="28"/>
          <w:shd w:val="clear" w:color="auto" w:fill="FFFFFF"/>
        </w:rPr>
        <w:lastRenderedPageBreak/>
        <w:t>ra quyết định mang tính chiến lược</w:t>
      </w:r>
      <w:r w:rsidR="003D6F8B">
        <w:rPr>
          <w:color w:val="000000"/>
          <w:sz w:val="28"/>
          <w:szCs w:val="28"/>
          <w:shd w:val="clear" w:color="auto" w:fill="FFFFFF"/>
        </w:rPr>
        <w:t xml:space="preserve"> đầu tư dự </w:t>
      </w:r>
      <w:proofErr w:type="gramStart"/>
      <w:r w:rsidR="003D6F8B">
        <w:rPr>
          <w:color w:val="000000"/>
          <w:sz w:val="28"/>
          <w:szCs w:val="28"/>
          <w:shd w:val="clear" w:color="auto" w:fill="FFFFFF"/>
        </w:rPr>
        <w:t>án</w:t>
      </w:r>
      <w:proofErr w:type="gramEnd"/>
      <w:r w:rsidRPr="00CD6D31">
        <w:rPr>
          <w:color w:val="000000"/>
          <w:sz w:val="28"/>
          <w:szCs w:val="28"/>
          <w:shd w:val="clear" w:color="auto" w:fill="FFFFFF"/>
        </w:rPr>
        <w:t xml:space="preserve"> khi nền kinh tế hội nhập ngày càng sâu rộng. Đó cũng là nguyên nhân của sự gia tăng ngày càng nhiều các nghiên cứu về các kỹ thuật KTQTCL nói </w:t>
      </w:r>
      <w:proofErr w:type="gramStart"/>
      <w:r w:rsidRPr="00CD6D31">
        <w:rPr>
          <w:color w:val="000000"/>
          <w:sz w:val="28"/>
          <w:szCs w:val="28"/>
          <w:shd w:val="clear" w:color="auto" w:fill="FFFFFF"/>
        </w:rPr>
        <w:t>chung</w:t>
      </w:r>
      <w:proofErr w:type="gramEnd"/>
      <w:r w:rsidRPr="00CD6D31">
        <w:rPr>
          <w:color w:val="000000"/>
          <w:sz w:val="28"/>
          <w:szCs w:val="28"/>
          <w:shd w:val="clear" w:color="auto" w:fill="FFFFFF"/>
        </w:rPr>
        <w:t xml:space="preserve"> khi áp dụng trong các DN tại Việt Nam.</w:t>
      </w:r>
    </w:p>
    <w:p w:rsidR="00F03EFD" w:rsidRPr="007F10D6" w:rsidRDefault="00F03EFD" w:rsidP="00F03EFD">
      <w:pPr>
        <w:autoSpaceDE w:val="0"/>
        <w:autoSpaceDN w:val="0"/>
        <w:adjustRightInd w:val="0"/>
        <w:spacing w:line="295" w:lineRule="auto"/>
        <w:ind w:firstLine="567"/>
        <w:jc w:val="both"/>
        <w:rPr>
          <w:color w:val="000000"/>
          <w:sz w:val="26"/>
          <w:szCs w:val="26"/>
        </w:rPr>
      </w:pPr>
    </w:p>
    <w:p w:rsidR="00F03EFD" w:rsidRPr="007F10D6" w:rsidRDefault="00F03EFD" w:rsidP="00F03EFD">
      <w:pPr>
        <w:spacing w:line="360" w:lineRule="auto"/>
        <w:jc w:val="both"/>
        <w:rPr>
          <w:color w:val="000000"/>
          <w:sz w:val="26"/>
          <w:szCs w:val="26"/>
        </w:rPr>
      </w:pPr>
      <w:r w:rsidRPr="00A11273">
        <w:rPr>
          <w:b/>
          <w:color w:val="000000"/>
          <w:sz w:val="26"/>
          <w:szCs w:val="26"/>
        </w:rPr>
        <w:t>TÀI LIỆU THAM KHẢO</w:t>
      </w:r>
    </w:p>
    <w:p w:rsidR="00F03EFD" w:rsidRPr="00A11273" w:rsidRDefault="00F03EFD" w:rsidP="00F03EFD">
      <w:pPr>
        <w:spacing w:line="288" w:lineRule="auto"/>
        <w:jc w:val="both"/>
        <w:rPr>
          <w:sz w:val="26"/>
          <w:szCs w:val="26"/>
        </w:rPr>
      </w:pPr>
      <w:r>
        <w:rPr>
          <w:sz w:val="26"/>
          <w:szCs w:val="26"/>
        </w:rPr>
        <w:t>1</w:t>
      </w:r>
      <w:r w:rsidRPr="00A11273">
        <w:rPr>
          <w:sz w:val="26"/>
          <w:szCs w:val="26"/>
        </w:rPr>
        <w:t>. Nguyễn Mạnh Thiều (2016), Kế toán quản trị chiến lược trong DN, Tạp chí nghiên cứu tài chính kế toán, 4 (153), 25-27</w:t>
      </w:r>
    </w:p>
    <w:p w:rsidR="00F03EFD" w:rsidRPr="00CD6D31" w:rsidRDefault="00F03EFD" w:rsidP="00F03EFD">
      <w:pPr>
        <w:pStyle w:val="NormalWeb"/>
        <w:shd w:val="clear" w:color="auto" w:fill="FFFFFF"/>
        <w:spacing w:before="0" w:beforeAutospacing="0" w:after="0" w:afterAutospacing="0" w:line="264" w:lineRule="auto"/>
        <w:jc w:val="both"/>
        <w:rPr>
          <w:color w:val="000000"/>
          <w:sz w:val="28"/>
          <w:szCs w:val="28"/>
        </w:rPr>
      </w:pPr>
      <w:r>
        <w:rPr>
          <w:color w:val="000000"/>
          <w:sz w:val="28"/>
          <w:szCs w:val="28"/>
        </w:rPr>
        <w:t>2.</w:t>
      </w:r>
      <w:r w:rsidRPr="00CD6D31">
        <w:rPr>
          <w:color w:val="000000"/>
          <w:sz w:val="28"/>
          <w:szCs w:val="28"/>
        </w:rPr>
        <w:t xml:space="preserve"> Phan Thị Thùy Nga (2020), </w:t>
      </w:r>
      <w:r w:rsidRPr="00CD6D31">
        <w:rPr>
          <w:i/>
          <w:color w:val="000000"/>
          <w:sz w:val="28"/>
          <w:szCs w:val="28"/>
        </w:rPr>
        <w:t>Kế toán quản trị chiến lược – góc nhìn về nghiên cứu và vận dụng</w:t>
      </w:r>
      <w:r w:rsidRPr="00CD6D31">
        <w:rPr>
          <w:color w:val="000000"/>
          <w:sz w:val="28"/>
          <w:szCs w:val="28"/>
        </w:rPr>
        <w:t xml:space="preserve">, tập 129, </w:t>
      </w:r>
      <w:bookmarkStart w:id="0" w:name="_GoBack"/>
      <w:bookmarkEnd w:id="0"/>
      <w:r w:rsidRPr="00CD6D31">
        <w:rPr>
          <w:color w:val="000000"/>
          <w:sz w:val="28"/>
          <w:szCs w:val="28"/>
        </w:rPr>
        <w:t>số 5B, Tạp chí khoa học Đại học Huế, Kinh tế và Phát triển.</w:t>
      </w:r>
    </w:p>
    <w:p w:rsidR="00F03EFD" w:rsidRPr="00A11273" w:rsidRDefault="00F03EFD" w:rsidP="00F03EFD">
      <w:pPr>
        <w:spacing w:line="288" w:lineRule="auto"/>
        <w:jc w:val="both"/>
        <w:rPr>
          <w:sz w:val="26"/>
          <w:szCs w:val="26"/>
        </w:rPr>
      </w:pPr>
      <w:r>
        <w:rPr>
          <w:sz w:val="26"/>
          <w:szCs w:val="26"/>
        </w:rPr>
        <w:t>3</w:t>
      </w:r>
      <w:r w:rsidRPr="00A11273">
        <w:rPr>
          <w:sz w:val="26"/>
          <w:szCs w:val="26"/>
        </w:rPr>
        <w:t>. Bromwich, M. (1990). “The Case for Strategic Management Accounting: The Role of Accounting information for Strategy in Competitive Markets”, Accounting Organizations and Society, Vol. 15 No.1/2, pp. 27-46;</w:t>
      </w:r>
    </w:p>
    <w:p w:rsidR="00C60007" w:rsidRPr="00B5279A" w:rsidRDefault="00C60007" w:rsidP="00C60007">
      <w:pPr>
        <w:spacing w:line="312" w:lineRule="auto"/>
        <w:ind w:firstLine="720"/>
        <w:jc w:val="both"/>
        <w:rPr>
          <w:sz w:val="26"/>
          <w:szCs w:val="26"/>
        </w:rPr>
      </w:pPr>
    </w:p>
    <w:p w:rsidR="004E5C71" w:rsidRDefault="004E5C71" w:rsidP="00F10460">
      <w:pPr>
        <w:spacing w:line="312" w:lineRule="auto"/>
        <w:jc w:val="both"/>
      </w:pPr>
    </w:p>
    <w:sectPr w:rsidR="004E5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41224"/>
    <w:multiLevelType w:val="hybridMultilevel"/>
    <w:tmpl w:val="FF109CC6"/>
    <w:lvl w:ilvl="0" w:tplc="931C38C4">
      <w:start w:val="30"/>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81"/>
    <w:rsid w:val="003D6F8B"/>
    <w:rsid w:val="004E5C71"/>
    <w:rsid w:val="006B499B"/>
    <w:rsid w:val="006D3381"/>
    <w:rsid w:val="00C60007"/>
    <w:rsid w:val="00EB1910"/>
    <w:rsid w:val="00F03EFD"/>
    <w:rsid w:val="00F10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81"/>
    <w:pPr>
      <w:widowControl w:val="0"/>
      <w:spacing w:after="0" w:line="240" w:lineRule="auto"/>
    </w:pPr>
    <w:rPr>
      <w:rFonts w:ascii="Times New Roman" w:eastAsia="SimSun" w:hAnsi="Times New Roman" w:cs="Times New Roman"/>
      <w:kern w:val="2"/>
      <w:sz w:val="24"/>
      <w:szCs w:val="20"/>
      <w:lang w:eastAsia="zh-CN"/>
    </w:rPr>
  </w:style>
  <w:style w:type="paragraph" w:styleId="Heading2">
    <w:name w:val="heading 2"/>
    <w:basedOn w:val="Normal"/>
    <w:link w:val="Heading2Char"/>
    <w:uiPriority w:val="9"/>
    <w:qFormat/>
    <w:rsid w:val="006D3381"/>
    <w:pPr>
      <w:widowControl/>
      <w:spacing w:before="100" w:beforeAutospacing="1" w:after="100" w:afterAutospacing="1"/>
      <w:outlineLvl w:val="1"/>
    </w:pPr>
    <w:rPr>
      <w:rFonts w:eastAsia="Times New Roman"/>
      <w:b/>
      <w:bCs/>
      <w:kern w:val="0"/>
      <w:sz w:val="36"/>
      <w:szCs w:val="36"/>
      <w:lang w:eastAsia="en-US"/>
    </w:rPr>
  </w:style>
  <w:style w:type="paragraph" w:styleId="Heading3">
    <w:name w:val="heading 3"/>
    <w:basedOn w:val="Normal"/>
    <w:next w:val="Normal"/>
    <w:link w:val="Heading3Char"/>
    <w:uiPriority w:val="9"/>
    <w:unhideWhenUsed/>
    <w:qFormat/>
    <w:rsid w:val="006D3381"/>
    <w:pPr>
      <w:keepNext/>
      <w:keepLines/>
      <w:widowControl/>
      <w:spacing w:before="200" w:line="276" w:lineRule="auto"/>
      <w:outlineLvl w:val="2"/>
    </w:pPr>
    <w:rPr>
      <w:rFonts w:ascii="Cambria" w:eastAsia="Times New Roman" w:hAnsi="Cambria"/>
      <w:b/>
      <w:bCs/>
      <w:color w:val="4F81BD"/>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33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381"/>
    <w:rPr>
      <w:rFonts w:ascii="Cambria" w:eastAsia="Times New Roman" w:hAnsi="Cambria" w:cs="Times New Roman"/>
      <w:b/>
      <w:bCs/>
      <w:color w:val="4F81BD"/>
    </w:rPr>
  </w:style>
  <w:style w:type="paragraph" w:styleId="ListParagraph">
    <w:name w:val="List Paragraph"/>
    <w:basedOn w:val="Normal"/>
    <w:uiPriority w:val="34"/>
    <w:qFormat/>
    <w:rsid w:val="006D3381"/>
    <w:pPr>
      <w:widowControl/>
      <w:spacing w:after="200" w:line="276" w:lineRule="auto"/>
      <w:ind w:left="720"/>
      <w:contextualSpacing/>
    </w:pPr>
    <w:rPr>
      <w:rFonts w:ascii="Calibri" w:eastAsia="Calibri" w:hAnsi="Calibri"/>
      <w:kern w:val="0"/>
      <w:sz w:val="22"/>
      <w:szCs w:val="22"/>
      <w:lang w:eastAsia="en-US"/>
    </w:rPr>
  </w:style>
  <w:style w:type="paragraph" w:styleId="NormalWeb">
    <w:name w:val="Normal (Web)"/>
    <w:basedOn w:val="Normal"/>
    <w:uiPriority w:val="99"/>
    <w:unhideWhenUsed/>
    <w:rsid w:val="006D3381"/>
    <w:pPr>
      <w:widowControl/>
      <w:spacing w:before="100" w:beforeAutospacing="1" w:after="100" w:afterAutospacing="1"/>
    </w:pPr>
    <w:rPr>
      <w:rFonts w:eastAsia="Times New Roman"/>
      <w:kern w:val="0"/>
      <w:szCs w:val="24"/>
      <w:lang w:eastAsia="en-US"/>
    </w:rPr>
  </w:style>
  <w:style w:type="paragraph" w:customStyle="1" w:styleId="para">
    <w:name w:val="para"/>
    <w:basedOn w:val="Normal"/>
    <w:rsid w:val="006D3381"/>
    <w:pPr>
      <w:widowControl/>
      <w:spacing w:before="100" w:beforeAutospacing="1" w:after="100" w:afterAutospacing="1"/>
    </w:pPr>
    <w:rPr>
      <w:rFonts w:eastAsia="Times New Roman"/>
      <w:kern w:val="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81"/>
    <w:pPr>
      <w:widowControl w:val="0"/>
      <w:spacing w:after="0" w:line="240" w:lineRule="auto"/>
    </w:pPr>
    <w:rPr>
      <w:rFonts w:ascii="Times New Roman" w:eastAsia="SimSun" w:hAnsi="Times New Roman" w:cs="Times New Roman"/>
      <w:kern w:val="2"/>
      <w:sz w:val="24"/>
      <w:szCs w:val="20"/>
      <w:lang w:eastAsia="zh-CN"/>
    </w:rPr>
  </w:style>
  <w:style w:type="paragraph" w:styleId="Heading2">
    <w:name w:val="heading 2"/>
    <w:basedOn w:val="Normal"/>
    <w:link w:val="Heading2Char"/>
    <w:uiPriority w:val="9"/>
    <w:qFormat/>
    <w:rsid w:val="006D3381"/>
    <w:pPr>
      <w:widowControl/>
      <w:spacing w:before="100" w:beforeAutospacing="1" w:after="100" w:afterAutospacing="1"/>
      <w:outlineLvl w:val="1"/>
    </w:pPr>
    <w:rPr>
      <w:rFonts w:eastAsia="Times New Roman"/>
      <w:b/>
      <w:bCs/>
      <w:kern w:val="0"/>
      <w:sz w:val="36"/>
      <w:szCs w:val="36"/>
      <w:lang w:eastAsia="en-US"/>
    </w:rPr>
  </w:style>
  <w:style w:type="paragraph" w:styleId="Heading3">
    <w:name w:val="heading 3"/>
    <w:basedOn w:val="Normal"/>
    <w:next w:val="Normal"/>
    <w:link w:val="Heading3Char"/>
    <w:uiPriority w:val="9"/>
    <w:unhideWhenUsed/>
    <w:qFormat/>
    <w:rsid w:val="006D3381"/>
    <w:pPr>
      <w:keepNext/>
      <w:keepLines/>
      <w:widowControl/>
      <w:spacing w:before="200" w:line="276" w:lineRule="auto"/>
      <w:outlineLvl w:val="2"/>
    </w:pPr>
    <w:rPr>
      <w:rFonts w:ascii="Cambria" w:eastAsia="Times New Roman" w:hAnsi="Cambria"/>
      <w:b/>
      <w:bCs/>
      <w:color w:val="4F81BD"/>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338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381"/>
    <w:rPr>
      <w:rFonts w:ascii="Cambria" w:eastAsia="Times New Roman" w:hAnsi="Cambria" w:cs="Times New Roman"/>
      <w:b/>
      <w:bCs/>
      <w:color w:val="4F81BD"/>
    </w:rPr>
  </w:style>
  <w:style w:type="paragraph" w:styleId="ListParagraph">
    <w:name w:val="List Paragraph"/>
    <w:basedOn w:val="Normal"/>
    <w:uiPriority w:val="34"/>
    <w:qFormat/>
    <w:rsid w:val="006D3381"/>
    <w:pPr>
      <w:widowControl/>
      <w:spacing w:after="200" w:line="276" w:lineRule="auto"/>
      <w:ind w:left="720"/>
      <w:contextualSpacing/>
    </w:pPr>
    <w:rPr>
      <w:rFonts w:ascii="Calibri" w:eastAsia="Calibri" w:hAnsi="Calibri"/>
      <w:kern w:val="0"/>
      <w:sz w:val="22"/>
      <w:szCs w:val="22"/>
      <w:lang w:eastAsia="en-US"/>
    </w:rPr>
  </w:style>
  <w:style w:type="paragraph" w:styleId="NormalWeb">
    <w:name w:val="Normal (Web)"/>
    <w:basedOn w:val="Normal"/>
    <w:uiPriority w:val="99"/>
    <w:unhideWhenUsed/>
    <w:rsid w:val="006D3381"/>
    <w:pPr>
      <w:widowControl/>
      <w:spacing w:before="100" w:beforeAutospacing="1" w:after="100" w:afterAutospacing="1"/>
    </w:pPr>
    <w:rPr>
      <w:rFonts w:eastAsia="Times New Roman"/>
      <w:kern w:val="0"/>
      <w:szCs w:val="24"/>
      <w:lang w:eastAsia="en-US"/>
    </w:rPr>
  </w:style>
  <w:style w:type="paragraph" w:customStyle="1" w:styleId="para">
    <w:name w:val="para"/>
    <w:basedOn w:val="Normal"/>
    <w:rsid w:val="006D3381"/>
    <w:pPr>
      <w:widowControl/>
      <w:spacing w:before="100" w:beforeAutospacing="1" w:after="100" w:afterAutospacing="1"/>
    </w:pPr>
    <w:rPr>
      <w:rFonts w:eastAsia="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2116</Words>
  <Characters>12064</Characters>
  <Application>Microsoft Office Word</Application>
  <DocSecurity>0</DocSecurity>
  <Lines>100</Lines>
  <Paragraphs>28</Paragraphs>
  <ScaleCrop>false</ScaleCrop>
  <Company/>
  <LinksUpToDate>false</LinksUpToDate>
  <CharactersWithSpaces>14152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2023-08-11T08:09:00Z</dcterms:created>
  <dcterms:modified xsi:type="dcterms:W3CDTF">2023-09-10T01:01:00Z</dcterms:modified>
</cp:coreProperties>
</file>