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EACB" w14:textId="77777777" w:rsidR="008C439E" w:rsidRDefault="0033618E" w:rsidP="008C439E">
      <w:pPr>
        <w:spacing w:after="0"/>
        <w:jc w:val="center"/>
        <w:rPr>
          <w:rFonts w:ascii="Times New Roman" w:hAnsi="Times New Roman" w:cs="Times New Roman"/>
          <w:b/>
          <w:bCs/>
          <w:color w:val="080809"/>
          <w:sz w:val="26"/>
          <w:szCs w:val="26"/>
          <w:shd w:val="clear" w:color="auto" w:fill="FFFFFF"/>
        </w:rPr>
      </w:pPr>
      <w:r w:rsidRPr="0033618E">
        <w:rPr>
          <w:rFonts w:ascii="Times New Roman" w:hAnsi="Times New Roman" w:cs="Times New Roman"/>
          <w:b/>
          <w:bCs/>
          <w:color w:val="080809"/>
          <w:sz w:val="26"/>
          <w:szCs w:val="26"/>
          <w:shd w:val="clear" w:color="auto" w:fill="FFFFFF"/>
        </w:rPr>
        <w:t xml:space="preserve">MỘT SỐ ĐIỂM MỚI NỔI BẬT VỀ THUẾ GTGT CÓ HIỆU LỰC </w:t>
      </w:r>
    </w:p>
    <w:p w14:paraId="21CB57AA" w14:textId="13281DD3" w:rsidR="00FE59A1" w:rsidRPr="0033618E" w:rsidRDefault="0033618E" w:rsidP="008C439E">
      <w:pPr>
        <w:spacing w:after="0"/>
        <w:jc w:val="center"/>
        <w:rPr>
          <w:rFonts w:ascii="Times New Roman" w:hAnsi="Times New Roman" w:cs="Times New Roman"/>
          <w:b/>
          <w:bCs/>
          <w:color w:val="080809"/>
          <w:sz w:val="26"/>
          <w:szCs w:val="26"/>
          <w:shd w:val="clear" w:color="auto" w:fill="FFFFFF"/>
        </w:rPr>
      </w:pPr>
      <w:r w:rsidRPr="0033618E">
        <w:rPr>
          <w:rFonts w:ascii="Times New Roman" w:hAnsi="Times New Roman" w:cs="Times New Roman"/>
          <w:b/>
          <w:bCs/>
          <w:color w:val="080809"/>
          <w:sz w:val="26"/>
          <w:szCs w:val="26"/>
          <w:shd w:val="clear" w:color="auto" w:fill="FFFFFF"/>
        </w:rPr>
        <w:t>TỪ NGÀY 01/07/2025</w:t>
      </w:r>
    </w:p>
    <w:p w14:paraId="7A3B9943" w14:textId="48339154" w:rsidR="0033618E" w:rsidRPr="008C439E" w:rsidRDefault="0033618E" w:rsidP="008C439E">
      <w:pPr>
        <w:ind w:left="720" w:firstLine="720"/>
        <w:jc w:val="center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</w:pPr>
      <w:r w:rsidRPr="008C439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Nguyễn Thị Khánh Vân – Khoa </w:t>
      </w:r>
      <w:proofErr w:type="spellStart"/>
      <w:r w:rsidRPr="008C439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Kế</w:t>
      </w:r>
      <w:proofErr w:type="spellEnd"/>
      <w:r w:rsidRPr="008C439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8C439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toán</w:t>
      </w:r>
      <w:proofErr w:type="spellEnd"/>
      <w:r w:rsidR="00CB07A0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r w:rsidR="008C439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- ĐH Duy Tân</w:t>
      </w:r>
    </w:p>
    <w:p w14:paraId="28524313" w14:textId="77777777" w:rsidR="00552485" w:rsidRPr="00552485" w:rsidRDefault="00552485" w:rsidP="005F452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01/7/2025,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bước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6E3F848" w14:textId="77777777" w:rsidR="00552485" w:rsidRPr="00552485" w:rsidRDefault="00552485" w:rsidP="005F452E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48/2024/QH15 –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GTGT.</w:t>
      </w:r>
    </w:p>
    <w:p w14:paraId="22B8CDD5" w14:textId="77777777" w:rsidR="00552485" w:rsidRPr="00552485" w:rsidRDefault="00552485" w:rsidP="005F452E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181/2025/NĐ-CP –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BD189B" w14:textId="77777777" w:rsidR="00552485" w:rsidRPr="00552485" w:rsidRDefault="00552485" w:rsidP="005F452E">
      <w:pPr>
        <w:numPr>
          <w:ilvl w:val="0"/>
          <w:numId w:val="4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174/2025/NĐ-CP – ban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204/2025/QH15,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10%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8%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01/7/2025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31/12/2026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65BCF0" w14:textId="77777777" w:rsidR="00552485" w:rsidRPr="00552485" w:rsidRDefault="00552485" w:rsidP="005F452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0E19BB" w14:textId="38871B0E" w:rsidR="00552485" w:rsidRPr="00063833" w:rsidRDefault="00552485" w:rsidP="005F452E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bật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nắm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kịp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248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552485">
        <w:rPr>
          <w:rFonts w:ascii="Times New Roman" w:eastAsia="Times New Roman" w:hAnsi="Times New Roman" w:cs="Times New Roman"/>
          <w:sz w:val="26"/>
          <w:szCs w:val="26"/>
        </w:rPr>
        <w:t xml:space="preserve"> 2025.</w:t>
      </w:r>
    </w:p>
    <w:p w14:paraId="3225A993" w14:textId="30AD4726" w:rsidR="001430C5" w:rsidRPr="00552485" w:rsidRDefault="001430C5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="006C68D0"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Luật</w:t>
      </w:r>
      <w:proofErr w:type="spellEnd"/>
      <w:r w:rsidR="006C68D0" w:rsidRPr="00063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48/2024/QH15 (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01/07/2025)</w:t>
      </w: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2FCC74A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tượng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chịu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hẹp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chịu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67653B4" w14:textId="19F21D15" w:rsidR="0033618E" w:rsidRPr="0033618E" w:rsidRDefault="001430C5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Danh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cũ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75D07E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6CC6324" w14:textId="357EE0C3" w:rsidR="0033618E" w:rsidRPr="0033618E" w:rsidRDefault="001430C5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0% (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…) </w:t>
      </w:r>
    </w:p>
    <w:p w14:paraId="2A042F1A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D8FB5CF" w14:textId="220C0649" w:rsidR="0033618E" w:rsidRPr="0033618E" w:rsidRDefault="001430C5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3EBD57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khấu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AF25EE4" w14:textId="4F1DFFC9" w:rsidR="0033618E" w:rsidRPr="0033618E" w:rsidRDefault="001430C5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gói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F2F11B6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DCA8F76" w14:textId="0106FDF3" w:rsidR="0033618E" w:rsidRPr="00063833" w:rsidRDefault="0068527F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Doanh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5%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≥ 300 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1307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9B13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vào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5A8E9F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Bổ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sung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01E354B" w14:textId="117B307B" w:rsidR="0033618E" w:rsidRPr="00063833" w:rsidRDefault="0068527F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Bao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VN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</w:p>
    <w:p w14:paraId="3DFFA6D7" w14:textId="40B6109C" w:rsidR="0068527F" w:rsidRPr="0033618E" w:rsidRDefault="006C68D0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181/2025/NĐ</w:t>
      </w: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noBreakHyphen/>
        <w:t xml:space="preserve">CP (chi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01/07/2025)</w:t>
      </w:r>
    </w:p>
    <w:p w14:paraId="5735C0D1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dùng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mặt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khấu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432F176" w14:textId="6926D0AC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≥ 5 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(bao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VAT).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≥ 5triệu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166060B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tượng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chịu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DC4D0FA" w14:textId="77777777" w:rsidR="0033618E" w:rsidRPr="00063833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90C5E9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rõ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ràng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hơn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D0575B3" w14:textId="5E650126" w:rsidR="0033618E" w:rsidRPr="00063833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Quy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bao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NK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3EA03C4" w14:textId="3237911B" w:rsidR="006C68D0" w:rsidRPr="00063833" w:rsidRDefault="006C68D0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thanh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khấu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trừ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</w:p>
    <w:p w14:paraId="18C68829" w14:textId="748E14AC" w:rsidR="006C68D0" w:rsidRPr="00063833" w:rsidRDefault="006C68D0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174/2025/NĐ</w:t>
      </w: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noBreakHyphen/>
        <w:t xml:space="preserve">CP &amp;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204/2025/QH15 (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01/07/2025 – 31/12/202</w:t>
      </w:r>
      <w:r w:rsidRPr="00063833">
        <w:rPr>
          <w:rFonts w:ascii="Times New Roman" w:eastAsia="Times New Roman" w:hAnsi="Times New Roman" w:cs="Times New Roman"/>
          <w:b/>
          <w:bCs/>
          <w:sz w:val="26"/>
          <w:szCs w:val="26"/>
        </w:rPr>
        <w:t>6)</w:t>
      </w:r>
    </w:p>
    <w:p w14:paraId="785077B1" w14:textId="54C62F0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10%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xuống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còn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8%</w:t>
      </w:r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viễn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khoáng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…) </w:t>
      </w:r>
    </w:p>
    <w:p w14:paraId="705AB91E" w14:textId="77777777" w:rsidR="0033618E" w:rsidRPr="00063833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8% ở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mọi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khâu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C1AFE32" w14:textId="77777777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Phương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từng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đãi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296AC51" w14:textId="2BDC6664" w:rsidR="0033618E" w:rsidRPr="0033618E" w:rsidRDefault="006C68D0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Doanh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“8%”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GTGT.</w:t>
      </w:r>
    </w:p>
    <w:p w14:paraId="595D657C" w14:textId="0D0249F8" w:rsidR="0033618E" w:rsidRPr="0033618E" w:rsidRDefault="006C68D0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3833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khoán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20%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%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33618E"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F0B1984" w14:textId="022BBD8A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kê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NĐ 174/2025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204/2025/QH15 </w:t>
      </w:r>
    </w:p>
    <w:p w14:paraId="17DEC422" w14:textId="7E3709E0" w:rsidR="0033618E" w:rsidRPr="0033618E" w:rsidRDefault="0033618E" w:rsidP="005F452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rộng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danh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cũ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3618E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33618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CDD3E6" w14:textId="203D4A57" w:rsidR="0033618E" w:rsidRPr="00592625" w:rsidRDefault="00063833" w:rsidP="005F452E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2625">
        <w:rPr>
          <w:rFonts w:ascii="Times New Roman" w:hAnsi="Times New Roman" w:cs="Times New Roman"/>
          <w:b/>
          <w:bCs/>
          <w:sz w:val="26"/>
          <w:szCs w:val="26"/>
        </w:rPr>
        <w:t xml:space="preserve">Tài </w:t>
      </w:r>
      <w:proofErr w:type="spellStart"/>
      <w:r w:rsidRPr="00592625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5926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2625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5926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2625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3D799D5F" w14:textId="5CF08C32" w:rsidR="00592625" w:rsidRPr="00072CF4" w:rsidRDefault="00063833" w:rsidP="005F452E">
      <w:pPr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48/2024/QH15 – </w:t>
      </w:r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ban </w:t>
      </w:r>
      <w:proofErr w:type="spellStart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2625" w:rsidRPr="00072CF4">
        <w:rPr>
          <w:rFonts w:ascii="Times New Roman" w:hAnsi="Times New Roman" w:cs="Times New Roman"/>
          <w:color w:val="363636"/>
          <w:sz w:val="26"/>
          <w:szCs w:val="26"/>
          <w:shd w:val="clear" w:color="auto" w:fill="FFFFFF"/>
        </w:rPr>
        <w:t>26-11- 2024</w:t>
      </w:r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E82CE48" w14:textId="18BE141F" w:rsidR="00063833" w:rsidRPr="00072CF4" w:rsidRDefault="00063833" w:rsidP="005F452E">
      <w:pPr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181/2025/NĐ-CP – </w:t>
      </w:r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ban </w:t>
      </w:r>
      <w:proofErr w:type="spellStart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592625"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01-07-2025 Quy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định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chi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tiết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thi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hành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điều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Luật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Thuế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giá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trị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gia</w:t>
      </w:r>
      <w:proofErr w:type="spellEnd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92625" w:rsidRPr="00072C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tăng</w:t>
      </w:r>
      <w:proofErr w:type="spellEnd"/>
    </w:p>
    <w:p w14:paraId="4F16A1FB" w14:textId="5BA80E01" w:rsidR="00592625" w:rsidRPr="00072CF4" w:rsidRDefault="00592625" w:rsidP="005F452E">
      <w:pPr>
        <w:numPr>
          <w:ilvl w:val="0"/>
          <w:numId w:val="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174/2025/NĐ-CP - ban </w:t>
      </w:r>
      <w:proofErr w:type="spellStart"/>
      <w:r w:rsidRPr="00072CF4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Pr="00072CF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30/6/2025</w:t>
      </w:r>
      <w:r w:rsidRPr="0007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quy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chi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tiết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chính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sách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giảm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thuế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GTGT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theo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Nghị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quyết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204/2025/QH15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Quốc </w:t>
      </w:r>
      <w:proofErr w:type="spellStart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hội</w:t>
      </w:r>
      <w:proofErr w:type="spellEnd"/>
      <w:r w:rsidRPr="00072CF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14:paraId="592E2124" w14:textId="59BA47AE" w:rsidR="00072CF4" w:rsidRPr="00072CF4" w:rsidRDefault="00072CF4" w:rsidP="00072CF4">
      <w:pPr>
        <w:tabs>
          <w:tab w:val="left" w:pos="313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072CF4" w:rsidRPr="0007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563"/>
    <w:multiLevelType w:val="multilevel"/>
    <w:tmpl w:val="571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15020"/>
    <w:multiLevelType w:val="multilevel"/>
    <w:tmpl w:val="3AA6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52DFD"/>
    <w:multiLevelType w:val="multilevel"/>
    <w:tmpl w:val="E718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90F72"/>
    <w:multiLevelType w:val="multilevel"/>
    <w:tmpl w:val="8032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E077E"/>
    <w:multiLevelType w:val="multilevel"/>
    <w:tmpl w:val="571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3t7A0NTa3NLc0sTRR0lEKTi0uzszPAykwqgUA7tw1SiwAAAA="/>
  </w:docVars>
  <w:rsids>
    <w:rsidRoot w:val="0033618E"/>
    <w:rsid w:val="00063833"/>
    <w:rsid w:val="00072CF4"/>
    <w:rsid w:val="001430C5"/>
    <w:rsid w:val="001E5AFE"/>
    <w:rsid w:val="0033618E"/>
    <w:rsid w:val="00552485"/>
    <w:rsid w:val="00592625"/>
    <w:rsid w:val="005F452E"/>
    <w:rsid w:val="0068527F"/>
    <w:rsid w:val="006C68D0"/>
    <w:rsid w:val="008C439E"/>
    <w:rsid w:val="009B1307"/>
    <w:rsid w:val="00CB07A0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1723"/>
  <w15:chartTrackingRefBased/>
  <w15:docId w15:val="{0894BA0E-6B7D-4EA5-BADE-7691942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6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1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3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33618E"/>
  </w:style>
  <w:style w:type="character" w:styleId="Strong">
    <w:name w:val="Strong"/>
    <w:basedOn w:val="DefaultParagraphFont"/>
    <w:uiPriority w:val="22"/>
    <w:qFormat/>
    <w:rsid w:val="0033618E"/>
    <w:rPr>
      <w:b/>
      <w:bCs/>
    </w:rPr>
  </w:style>
  <w:style w:type="character" w:customStyle="1" w:styleId="ms-1">
    <w:name w:val="ms-1"/>
    <w:basedOn w:val="DefaultParagraphFont"/>
    <w:rsid w:val="0033618E"/>
  </w:style>
  <w:style w:type="character" w:customStyle="1" w:styleId="max-w-full">
    <w:name w:val="max-w-full"/>
    <w:basedOn w:val="DefaultParagraphFont"/>
    <w:rsid w:val="0033618E"/>
  </w:style>
  <w:style w:type="character" w:customStyle="1" w:styleId="-me-1">
    <w:name w:val="-me-1"/>
    <w:basedOn w:val="DefaultParagraphFont"/>
    <w:rsid w:val="0033618E"/>
  </w:style>
  <w:style w:type="character" w:customStyle="1" w:styleId="sr-only">
    <w:name w:val="sr-only"/>
    <w:basedOn w:val="DefaultParagraphFont"/>
    <w:rsid w:val="0055248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24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248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24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2485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4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8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7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3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5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96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6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6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2025-07-12T07:29:00Z</dcterms:created>
  <dcterms:modified xsi:type="dcterms:W3CDTF">2025-07-16T00:45:00Z</dcterms:modified>
</cp:coreProperties>
</file>