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C4DC2" w14:textId="77777777" w:rsidR="00BC4B71" w:rsidRDefault="00BC4B71" w:rsidP="00BC4B71">
      <w:pPr>
        <w:pStyle w:val="Heading2"/>
        <w:spacing w:before="0" w:line="360" w:lineRule="auto"/>
        <w:jc w:val="center"/>
        <w:rPr>
          <w:rFonts w:ascii="Times New Roman" w:eastAsia="Times New Roman" w:hAnsi="Times New Roman" w:cs="Times New Roman"/>
          <w:b/>
          <w:bCs/>
          <w:iCs/>
          <w:color w:val="000000"/>
          <w:sz w:val="28"/>
          <w:szCs w:val="28"/>
        </w:rPr>
      </w:pPr>
      <w:r w:rsidRPr="00BC4B71">
        <w:rPr>
          <w:rFonts w:ascii="Times New Roman" w:eastAsia="Times New Roman" w:hAnsi="Times New Roman" w:cs="Times New Roman"/>
          <w:b/>
          <w:bCs/>
          <w:iCs/>
          <w:color w:val="000000"/>
          <w:sz w:val="28"/>
          <w:szCs w:val="28"/>
        </w:rPr>
        <w:t xml:space="preserve">Trao đổi về </w:t>
      </w:r>
      <w:r w:rsidRPr="00BC4B71">
        <w:rPr>
          <w:rFonts w:ascii="Times New Roman" w:eastAsia="Times New Roman" w:hAnsi="Times New Roman" w:cs="Times New Roman"/>
          <w:b/>
          <w:bCs/>
          <w:iCs/>
          <w:color w:val="000000"/>
          <w:sz w:val="28"/>
          <w:szCs w:val="28"/>
        </w:rPr>
        <w:t>hướng dẫn chi tiết về xây dựng dự toán chi đầu tư phát triển</w:t>
      </w:r>
    </w:p>
    <w:p w14:paraId="7CEFE11E" w14:textId="77777777" w:rsidR="00BC4B71" w:rsidRPr="00BC4B71" w:rsidRDefault="00BC4B71" w:rsidP="00BC4B71">
      <w:pPr>
        <w:jc w:val="right"/>
        <w:rPr>
          <w:i/>
          <w:color w:val="000000"/>
          <w:sz w:val="28"/>
          <w:szCs w:val="28"/>
        </w:rPr>
      </w:pPr>
      <w:r w:rsidRPr="00BC4B71">
        <w:rPr>
          <w:i/>
          <w:color w:val="000000"/>
          <w:sz w:val="28"/>
          <w:szCs w:val="28"/>
        </w:rPr>
        <w:t>ThS. Nguyễn Khánh Thu Hằng</w:t>
      </w:r>
    </w:p>
    <w:p w14:paraId="199C2D58" w14:textId="77777777" w:rsidR="00BC4B71" w:rsidRDefault="00BC4B71" w:rsidP="00BC4B71">
      <w:pPr>
        <w:pStyle w:val="Heading2"/>
        <w:spacing w:before="0" w:line="360" w:lineRule="auto"/>
        <w:rPr>
          <w:rFonts w:ascii="Times New Roman" w:eastAsia="Times New Roman" w:hAnsi="Times New Roman" w:cs="Times New Roman"/>
          <w:b/>
          <w:bCs/>
          <w:i/>
          <w:iCs/>
          <w:color w:val="000000"/>
          <w:sz w:val="28"/>
          <w:szCs w:val="28"/>
        </w:rPr>
      </w:pPr>
    </w:p>
    <w:p w14:paraId="17843CBF" w14:textId="77777777" w:rsidR="00BC4B71" w:rsidRPr="00BC4B71" w:rsidRDefault="00BC4B71" w:rsidP="00BC4B71">
      <w:pPr>
        <w:rPr>
          <w:rFonts w:eastAsia="Times New Roman"/>
          <w:b/>
          <w:bCs/>
          <w:iCs/>
          <w:color w:val="000000"/>
          <w:sz w:val="28"/>
          <w:szCs w:val="28"/>
        </w:rPr>
      </w:pPr>
      <w:r w:rsidRPr="00BC4B71">
        <w:rPr>
          <w:rFonts w:eastAsia="Times New Roman"/>
          <w:b/>
          <w:bCs/>
          <w:iCs/>
          <w:color w:val="000000"/>
          <w:sz w:val="28"/>
          <w:szCs w:val="28"/>
        </w:rPr>
        <w:t>Tóm tắt</w:t>
      </w:r>
    </w:p>
    <w:p w14:paraId="471B3292" w14:textId="77777777" w:rsidR="00BC4B71" w:rsidRPr="00BC4B71" w:rsidRDefault="00BC4B71" w:rsidP="00BC4B71">
      <w:pPr>
        <w:pStyle w:val="Heading2"/>
        <w:spacing w:before="0" w:line="360" w:lineRule="auto"/>
        <w:ind w:firstLine="720"/>
        <w:rPr>
          <w:rFonts w:ascii="Times New Roman" w:eastAsia="Times New Roman" w:hAnsi="Times New Roman" w:cs="Times New Roman"/>
          <w:iCs/>
          <w:color w:val="000000"/>
          <w:sz w:val="28"/>
          <w:szCs w:val="28"/>
        </w:rPr>
      </w:pPr>
      <w:r w:rsidRPr="00BC4B71">
        <w:rPr>
          <w:rFonts w:ascii="Times New Roman" w:eastAsia="Times New Roman" w:hAnsi="Times New Roman" w:cs="Times New Roman"/>
          <w:bCs/>
          <w:iCs/>
          <w:color w:val="000000"/>
          <w:sz w:val="28"/>
          <w:szCs w:val="28"/>
        </w:rPr>
        <w:t xml:space="preserve">Thông tư số 51/2023/TT-BTC ngày 17/7/2023 của Bộ Tài chính </w:t>
      </w:r>
      <w:r>
        <w:rPr>
          <w:rFonts w:ascii="Times New Roman" w:eastAsia="Times New Roman" w:hAnsi="Times New Roman" w:cs="Times New Roman"/>
          <w:bCs/>
          <w:iCs/>
          <w:color w:val="000000"/>
          <w:sz w:val="28"/>
          <w:szCs w:val="28"/>
        </w:rPr>
        <w:t xml:space="preserve">ban hành </w:t>
      </w:r>
      <w:r w:rsidRPr="00BC4B71">
        <w:rPr>
          <w:rFonts w:ascii="Times New Roman" w:eastAsia="Times New Roman" w:hAnsi="Times New Roman" w:cs="Times New Roman"/>
          <w:bCs/>
          <w:iCs/>
          <w:color w:val="000000"/>
          <w:sz w:val="28"/>
          <w:szCs w:val="28"/>
        </w:rPr>
        <w:t>đã hướng dẫn cụ thể về xây dựng dự toán ngân sách nhà nước (NSNN) năm 2024, trong đó có hướng dẫn chi tiết về xây dựng dự toán chi đầu tư phát triển.</w:t>
      </w:r>
    </w:p>
    <w:p w14:paraId="796FD3F1" w14:textId="77777777" w:rsidR="008F3AF6" w:rsidRDefault="00BC4B71" w:rsidP="00BC4B71">
      <w:pPr>
        <w:spacing w:line="360" w:lineRule="auto"/>
        <w:rPr>
          <w:i/>
          <w:sz w:val="28"/>
          <w:szCs w:val="28"/>
        </w:rPr>
      </w:pPr>
      <w:r>
        <w:rPr>
          <w:sz w:val="28"/>
          <w:szCs w:val="28"/>
        </w:rPr>
        <w:tab/>
      </w:r>
      <w:r>
        <w:rPr>
          <w:i/>
          <w:sz w:val="28"/>
          <w:szCs w:val="28"/>
        </w:rPr>
        <w:t>Từ khoá: dự toán, NSNN, …</w:t>
      </w:r>
    </w:p>
    <w:p w14:paraId="5222BAA3" w14:textId="77777777" w:rsidR="00BC4B71" w:rsidRPr="00BC4B71" w:rsidRDefault="00BC4B71" w:rsidP="00BC4B71">
      <w:pPr>
        <w:spacing w:line="360" w:lineRule="auto"/>
        <w:rPr>
          <w:i/>
          <w:sz w:val="28"/>
          <w:szCs w:val="28"/>
        </w:rPr>
      </w:pPr>
    </w:p>
    <w:p w14:paraId="195EE33F" w14:textId="77777777" w:rsidR="00BC4B71" w:rsidRPr="00BC4B71" w:rsidRDefault="00BC4B71" w:rsidP="00BC4B71">
      <w:pPr>
        <w:pStyle w:val="NormalWeb"/>
        <w:spacing w:before="0" w:beforeAutospacing="0" w:after="0" w:afterAutospacing="0" w:line="360" w:lineRule="auto"/>
        <w:ind w:firstLine="720"/>
        <w:jc w:val="both"/>
        <w:rPr>
          <w:color w:val="000000"/>
          <w:sz w:val="28"/>
          <w:szCs w:val="28"/>
        </w:rPr>
      </w:pPr>
      <w:r w:rsidRPr="00BC4B71">
        <w:rPr>
          <w:color w:val="000000"/>
          <w:sz w:val="28"/>
          <w:szCs w:val="28"/>
        </w:rPr>
        <w:t>Thông tư số</w:t>
      </w:r>
      <w:r>
        <w:rPr>
          <w:color w:val="000000"/>
          <w:sz w:val="28"/>
          <w:szCs w:val="28"/>
        </w:rPr>
        <w:t xml:space="preserve"> 51/2023/TT-BTC ban hành nêu rõ</w:t>
      </w:r>
      <w:r w:rsidRPr="00BC4B71">
        <w:rPr>
          <w:color w:val="000000"/>
          <w:sz w:val="28"/>
          <w:szCs w:val="28"/>
        </w:rPr>
        <w:t xml:space="preserve"> dự toán chi đầu tư phát triển nguồn NSNN bao gồm cả nguồn vốn ODA (tách riêng vốn vay và vốn viện trợ), vốn vay ưu đãi nước ngoài, vốn viện trợ không thuộc hỗ trợ phát triển chính thức thuộc nguồn thu NSNN, nguồn thu xổ số kiến thiết, nguồn thu từ bán vốn nhà nước tại một số doanh nghiệp, nguồn thu tiền sử dụng đất được xây dựng theo các quy định của pháp luật và khả năng cân đối của NSNN trong năm.</w:t>
      </w:r>
      <w:r>
        <w:rPr>
          <w:color w:val="000000"/>
          <w:sz w:val="28"/>
          <w:szCs w:val="28"/>
        </w:rPr>
        <w:t xml:space="preserve"> Những d</w:t>
      </w:r>
      <w:r w:rsidRPr="00BC4B71">
        <w:rPr>
          <w:color w:val="000000"/>
          <w:sz w:val="28"/>
          <w:szCs w:val="28"/>
        </w:rPr>
        <w:t>ự toán</w:t>
      </w:r>
      <w:r>
        <w:rPr>
          <w:color w:val="000000"/>
          <w:sz w:val="28"/>
          <w:szCs w:val="28"/>
        </w:rPr>
        <w:t xml:space="preserve"> này</w:t>
      </w:r>
      <w:r w:rsidRPr="00BC4B71">
        <w:rPr>
          <w:color w:val="000000"/>
          <w:sz w:val="28"/>
          <w:szCs w:val="28"/>
        </w:rPr>
        <w:t xml:space="preserve"> phải phù hợp với các kế hoạch 5 năm đã được cấp có thẩm quyền phê duyệt và các nhiệm vụ chi đầu tư phát triển theo quy định của Luật NSNN, các văn bản pháp luật khác có liên quan không thuộc phạm vi của Luật Đầu tư công.</w:t>
      </w:r>
    </w:p>
    <w:p w14:paraId="6840AE2B" w14:textId="77777777" w:rsidR="00BC4B71" w:rsidRPr="00BC4B71" w:rsidRDefault="00BC4B71" w:rsidP="00BC4B71">
      <w:pPr>
        <w:pStyle w:val="NormalWeb"/>
        <w:spacing w:before="0" w:beforeAutospacing="0" w:after="0" w:afterAutospacing="0" w:line="360" w:lineRule="auto"/>
        <w:ind w:firstLine="720"/>
        <w:jc w:val="both"/>
        <w:rPr>
          <w:color w:val="000000"/>
          <w:sz w:val="28"/>
          <w:szCs w:val="28"/>
        </w:rPr>
      </w:pPr>
      <w:r>
        <w:rPr>
          <w:color w:val="000000"/>
          <w:sz w:val="28"/>
          <w:szCs w:val="28"/>
        </w:rPr>
        <w:t>Theo t</w:t>
      </w:r>
      <w:r w:rsidRPr="00BC4B71">
        <w:rPr>
          <w:color w:val="000000"/>
          <w:sz w:val="28"/>
          <w:szCs w:val="28"/>
        </w:rPr>
        <w:t>hông tư số</w:t>
      </w:r>
      <w:r>
        <w:rPr>
          <w:color w:val="000000"/>
          <w:sz w:val="28"/>
          <w:szCs w:val="28"/>
        </w:rPr>
        <w:t xml:space="preserve"> 51/2023/TT-BTC</w:t>
      </w:r>
      <w:r w:rsidRPr="00BC4B71">
        <w:rPr>
          <w:color w:val="000000"/>
          <w:sz w:val="28"/>
          <w:szCs w:val="28"/>
        </w:rPr>
        <w:t xml:space="preserve"> đề xuất phương án bố trí vốn theo đúng thứ tự ưu tiên. Mức bố trí vốn cho từng nhiệm vụ phải phù hợp với kế hoạch đầu tư công trung hạn giai đoạn 2021-2025, khả năng thực hiện và giải ngân của từng dự án, bảo đảm phân bổ, giao chi tiết cho dự án trước ngày 31/12/2023, khắc phục tình trạng phân bổ vốn manh mún, dàn trải, kém hiệu quả, đảm bảo tiến độ phân bổ, giao kế hoạch chi tiết cho các nhiệm vụ, dự án theo đúng quy định.</w:t>
      </w:r>
      <w:r>
        <w:rPr>
          <w:color w:val="000000"/>
          <w:sz w:val="28"/>
          <w:szCs w:val="28"/>
        </w:rPr>
        <w:t xml:space="preserve"> Để t</w:t>
      </w:r>
      <w:r w:rsidRPr="00BC4B71">
        <w:rPr>
          <w:color w:val="000000"/>
          <w:sz w:val="28"/>
          <w:szCs w:val="28"/>
        </w:rPr>
        <w:t xml:space="preserve">hực hiện theo đúng quy định của Luật NSNN về tổng mức hỗ trợ vốn đầu tư phát triển hằng năm của ngân sách trung ương (NSTW) cho ngân sách địa phương để thực hiện một số chương trình, dự án lớn, đặc biệt quan trọng có tác động lớn đến phát triển kinh tế - </w:t>
      </w:r>
      <w:r w:rsidRPr="00BC4B71">
        <w:rPr>
          <w:color w:val="000000"/>
          <w:sz w:val="28"/>
          <w:szCs w:val="28"/>
        </w:rPr>
        <w:lastRenderedPageBreak/>
        <w:t>xã hội của địa phương, tối đa không vượt quá 30% tổng chi đầu tư xây dựng cơ bản của NSTW.</w:t>
      </w:r>
    </w:p>
    <w:p w14:paraId="14669000" w14:textId="77777777" w:rsidR="00BC4B71" w:rsidRPr="00BC4B71" w:rsidRDefault="00BC4B71" w:rsidP="00BC4B71">
      <w:pPr>
        <w:pStyle w:val="NormalWeb"/>
        <w:spacing w:before="0" w:beforeAutospacing="0" w:after="0" w:afterAutospacing="0" w:line="360" w:lineRule="auto"/>
        <w:ind w:firstLine="720"/>
        <w:jc w:val="both"/>
        <w:rPr>
          <w:color w:val="000000"/>
          <w:sz w:val="28"/>
          <w:szCs w:val="28"/>
        </w:rPr>
      </w:pPr>
      <w:r w:rsidRPr="00BC4B71">
        <w:rPr>
          <w:color w:val="000000"/>
          <w:sz w:val="28"/>
          <w:szCs w:val="28"/>
        </w:rPr>
        <w:t>Đối với vốn nước ngoài</w:t>
      </w:r>
      <w:r>
        <w:rPr>
          <w:color w:val="000000"/>
          <w:sz w:val="28"/>
          <w:szCs w:val="28"/>
        </w:rPr>
        <w:t xml:space="preserve"> theo </w:t>
      </w:r>
      <w:r>
        <w:rPr>
          <w:color w:val="000000"/>
          <w:sz w:val="28"/>
          <w:szCs w:val="28"/>
        </w:rPr>
        <w:t>t</w:t>
      </w:r>
      <w:r w:rsidRPr="00BC4B71">
        <w:rPr>
          <w:color w:val="000000"/>
          <w:sz w:val="28"/>
          <w:szCs w:val="28"/>
        </w:rPr>
        <w:t>hông tư số</w:t>
      </w:r>
      <w:r>
        <w:rPr>
          <w:color w:val="000000"/>
          <w:sz w:val="28"/>
          <w:szCs w:val="28"/>
        </w:rPr>
        <w:t xml:space="preserve"> 51/2023/TT-BTC</w:t>
      </w:r>
      <w:r w:rsidRPr="00BC4B71">
        <w:rPr>
          <w:color w:val="000000"/>
          <w:sz w:val="28"/>
          <w:szCs w:val="28"/>
        </w:rPr>
        <w:t>, việc bố trí kế hoạch phải chi tiết theo nguồn vốn vay, vốn viện trợ theo ngành, lĩnh vực; phù hợp với kế hoạch đầu tư công trung hạn vốn NSTW giai đoạn 2021-2025, nội dung của Hiệp định, cam kết với nhà tài trợ, phù hợp với cơ chế tài chính của dự án và tiến độ thực hiện chương trình/dự án, ưu tiên bố trí đủ vốn cho các dự án kết thúc Hiệp định, thỏa thuận vay, viện trợ nước ngoài trong năm 2024 và không có khả năng gia hạn.</w:t>
      </w:r>
    </w:p>
    <w:p w14:paraId="3DAF0473" w14:textId="77777777" w:rsidR="00BC4B71" w:rsidRPr="00BC4B71" w:rsidRDefault="00BC4B71" w:rsidP="00BC4B71">
      <w:pPr>
        <w:pStyle w:val="NormalWeb"/>
        <w:spacing w:before="0" w:beforeAutospacing="0" w:after="0" w:afterAutospacing="0" w:line="360" w:lineRule="auto"/>
        <w:jc w:val="both"/>
        <w:rPr>
          <w:color w:val="000000"/>
          <w:sz w:val="28"/>
          <w:szCs w:val="28"/>
        </w:rPr>
      </w:pPr>
      <w:r w:rsidRPr="00BC4B71">
        <w:rPr>
          <w:color w:val="000000"/>
          <w:sz w:val="28"/>
          <w:szCs w:val="28"/>
        </w:rPr>
        <w:t>Đối với các Hiệp định, thỏa thuận, cam kết mới (nếu có) phải đảm bảo trong phạm vi 300 nghìn tỷ đồng nguồn vốn nước ngoài chi đầu tư phát triển của cả giai đoạn 5 năm 2021-2025 đã được phê duyệt.</w:t>
      </w:r>
    </w:p>
    <w:p w14:paraId="7E4A8F4F" w14:textId="77777777" w:rsidR="00BC4B71" w:rsidRPr="00BC4B71" w:rsidRDefault="00BC4B71" w:rsidP="00BC4B71">
      <w:pPr>
        <w:pStyle w:val="NormalWeb"/>
        <w:spacing w:before="0" w:beforeAutospacing="0" w:after="0" w:afterAutospacing="0" w:line="360" w:lineRule="auto"/>
        <w:ind w:firstLine="720"/>
        <w:jc w:val="both"/>
        <w:rPr>
          <w:color w:val="000000"/>
          <w:sz w:val="28"/>
          <w:szCs w:val="28"/>
        </w:rPr>
      </w:pPr>
      <w:r w:rsidRPr="00BC4B71">
        <w:rPr>
          <w:color w:val="000000"/>
          <w:sz w:val="28"/>
          <w:szCs w:val="28"/>
        </w:rPr>
        <w:t>Thông tư số</w:t>
      </w:r>
      <w:r>
        <w:rPr>
          <w:color w:val="000000"/>
          <w:sz w:val="28"/>
          <w:szCs w:val="28"/>
        </w:rPr>
        <w:t xml:space="preserve"> 51/2023/TT-BTC cũng </w:t>
      </w:r>
      <w:r w:rsidRPr="00BC4B71">
        <w:rPr>
          <w:color w:val="000000"/>
          <w:sz w:val="28"/>
          <w:szCs w:val="28"/>
        </w:rPr>
        <w:t>hướng dẫ</w:t>
      </w:r>
      <w:r>
        <w:rPr>
          <w:color w:val="000000"/>
          <w:sz w:val="28"/>
          <w:szCs w:val="28"/>
        </w:rPr>
        <w:t>n cụ thể</w:t>
      </w:r>
      <w:r w:rsidRPr="00BC4B71">
        <w:rPr>
          <w:color w:val="000000"/>
          <w:sz w:val="28"/>
          <w:szCs w:val="28"/>
        </w:rPr>
        <w:t xml:space="preserve"> căn cứ số đã thu, đã chi đầu tư phát triển từ nguồn quản lý, sử dụng, sắp xếp lại, xử lý nhà, đất thuộc sở hữu nhà nước nhưng chưa được quyết toán; số đã nộp NSNN các năm trước chưa sử dụng và dự toán thu NSNN từ nguồn quản lý, sử dụng, sắp xếp lại, xử lý nhà, đất thuộc sở hữu nhà nước năm 2024, các bộ, cơ quan trung ương, các cơ quan, đơn vị ở địa phương lập dự toán chi đầu tư phát triển từ nguồn thu này theo quy định.</w:t>
      </w:r>
      <w:r>
        <w:rPr>
          <w:color w:val="000000"/>
          <w:sz w:val="28"/>
          <w:szCs w:val="28"/>
        </w:rPr>
        <w:t xml:space="preserve"> Để </w:t>
      </w:r>
      <w:r w:rsidRPr="00BC4B71">
        <w:rPr>
          <w:color w:val="000000"/>
          <w:sz w:val="28"/>
          <w:szCs w:val="28"/>
        </w:rPr>
        <w:t>làm rõ các dự án đã hoàn thành chưa được quyết toán do chưa được bố trí dự toán ngân sách; các dự án được phê duyệt sử dụng từ nguồn tiền bán tài sản trên đất và chuyển nhượng quyền sử dụng đất đã nộp ngân sách nhưng chưa sử dụng; các dự án dự kiến sử dụng nguồn thu này phát sinh trong năm 2024; tổng hợp trong dự toán chi đầu tư phát triển của bộ, cơ quan trung ương, các cơ quan, đơn vị ở địa phương gửi cơ quan Kế hoạch và đầu tư và cơ quan Tài chính cùng cấp để tổng hợp dự toán NSNN trình cấp có thẩm quyền quyết định.</w:t>
      </w:r>
    </w:p>
    <w:p w14:paraId="0D68BA3F" w14:textId="77777777" w:rsidR="00BC4B71" w:rsidRDefault="00BC4B71" w:rsidP="00BC4B71">
      <w:pPr>
        <w:pStyle w:val="NormalWeb"/>
        <w:spacing w:before="0" w:beforeAutospacing="0" w:after="0" w:afterAutospacing="0" w:line="360" w:lineRule="auto"/>
        <w:ind w:firstLine="720"/>
        <w:jc w:val="both"/>
        <w:rPr>
          <w:color w:val="000000"/>
          <w:sz w:val="28"/>
          <w:szCs w:val="28"/>
        </w:rPr>
      </w:pPr>
      <w:r>
        <w:rPr>
          <w:color w:val="000000"/>
          <w:sz w:val="28"/>
          <w:szCs w:val="28"/>
        </w:rPr>
        <w:t>Thông tư cũng quy định</w:t>
      </w:r>
      <w:r w:rsidRPr="00BC4B71">
        <w:rPr>
          <w:color w:val="000000"/>
          <w:sz w:val="28"/>
          <w:szCs w:val="28"/>
        </w:rPr>
        <w:t xml:space="preserve"> các bộ, cơ quan trung ương lập báo cáo riêng giải trình cụ thể về việc triển khai phương án quản lý, sử dụng, sắp xếp, xử lý nhà, đất, việc thu, nộp ngân sách và chi từ nguồn này đến năm 2023; cùng kế hoạch triển khai phương án quản lý, sử dụng, sắp xếp, xử lý nhà, đất năm 2024, dự toán số thu, nộp ngân sách năm 2024 và chi từ nguồn này theo các nội dung trên gửi Bộ Tài chính, Bộ Kế hoạch và Đầu tư để tổng hợp báo cáo cấp có thẩm quyền theo quy định.</w:t>
      </w:r>
      <w:r>
        <w:rPr>
          <w:color w:val="000000"/>
          <w:sz w:val="28"/>
          <w:szCs w:val="28"/>
        </w:rPr>
        <w:t xml:space="preserve"> </w:t>
      </w:r>
      <w:r w:rsidRPr="00BC4B71">
        <w:rPr>
          <w:color w:val="000000"/>
          <w:sz w:val="28"/>
          <w:szCs w:val="28"/>
        </w:rPr>
        <w:t>Các cơ quan, đơn vị lập dự toán chi đầu tư phát triển ngoài phạm vi Luật Đầu tư công (kèm thuyết minh chi tiết) thực hiện các nội dung, nhiệm vụ theo quy định tại Luật quản lý, sử dụng vốn nhà nước đầu tư vào sản xuất, kinh doanh tại doanh nghiệp và Nghị định số 148/2021/NĐ-CP của Chính phủ, các nhiệm vụ chi NSNN thực hiện các cam kết của Chính phủ đối với các nhà đầu tư nước ngoài đã và đang trình cấp thẩm quyền trong phạm vi số dự kiến thu ngân sách phát sinh tương ứng.</w:t>
      </w:r>
      <w:r>
        <w:rPr>
          <w:color w:val="000000"/>
          <w:sz w:val="28"/>
          <w:szCs w:val="28"/>
        </w:rPr>
        <w:t xml:space="preserve"> </w:t>
      </w:r>
      <w:r w:rsidRPr="00BC4B71">
        <w:rPr>
          <w:color w:val="000000"/>
          <w:sz w:val="28"/>
          <w:szCs w:val="28"/>
        </w:rPr>
        <w:t>Đối với nguồn vốn từ nguồn thu hợp pháp của các cơ quan nhà nước, đơn vị sự nghiệp công lập dành để đầu tư ngoài cân đối NSNN, lập dự toán các nhiệm vụ đầu tư phát triển theo quy định hiện hành (chi tiết nguồn thu phí, thu sự nghiệp được để lại, quỹ phát triển hoạt động sự nghiệp, nguồn vay và nguồn hợp pháp khác của đơn vị) gửi cơ quan quản lý cấp trên, tổng hợp báo cáo cơ quan đầu tư, tài chính cùng cấp.</w:t>
      </w:r>
    </w:p>
    <w:p w14:paraId="1F3F84A8" w14:textId="77777777" w:rsidR="00CD04AB" w:rsidRDefault="00CD04AB" w:rsidP="00CD04AB">
      <w:pPr>
        <w:spacing w:line="360" w:lineRule="auto"/>
        <w:ind w:firstLine="720"/>
        <w:jc w:val="both"/>
        <w:rPr>
          <w:color w:val="000000"/>
          <w:sz w:val="28"/>
          <w:szCs w:val="28"/>
        </w:rPr>
      </w:pPr>
      <w:r w:rsidRPr="00CD04AB">
        <w:rPr>
          <w:color w:val="000000"/>
          <w:sz w:val="28"/>
          <w:szCs w:val="28"/>
        </w:rPr>
        <w:t>Thông tư này có hiệu lực thi hành kể từ ngày 31/8/2023 và áp dụng cho quá trình xây dựng dự toán NSNN năm 2024</w:t>
      </w:r>
      <w:r w:rsidRPr="00CD04AB">
        <w:rPr>
          <w:color w:val="000000"/>
          <w:sz w:val="28"/>
          <w:szCs w:val="28"/>
        </w:rPr>
        <w:t> </w:t>
      </w:r>
      <w:r w:rsidRPr="00CD04AB">
        <w:rPr>
          <w:color w:val="000000"/>
          <w:sz w:val="28"/>
          <w:szCs w:val="28"/>
        </w:rPr>
        <w:t>và kế hoạch tài chính - NSNN năm 2024-2026</w:t>
      </w:r>
    </w:p>
    <w:p w14:paraId="3DE11DDD" w14:textId="77777777" w:rsidR="00CD04AB" w:rsidRPr="00BC4B71" w:rsidRDefault="00CD04AB" w:rsidP="00CD04AB">
      <w:pPr>
        <w:pStyle w:val="NormalWeb"/>
        <w:spacing w:before="0" w:beforeAutospacing="0" w:after="0" w:afterAutospacing="0" w:line="360" w:lineRule="auto"/>
        <w:jc w:val="both"/>
        <w:rPr>
          <w:b/>
          <w:color w:val="000000"/>
          <w:sz w:val="28"/>
          <w:szCs w:val="28"/>
        </w:rPr>
      </w:pPr>
      <w:r w:rsidRPr="00BC4B71">
        <w:rPr>
          <w:b/>
          <w:color w:val="000000"/>
          <w:sz w:val="28"/>
          <w:szCs w:val="28"/>
        </w:rPr>
        <w:t>Kết luận</w:t>
      </w:r>
    </w:p>
    <w:p w14:paraId="61B36D46" w14:textId="5F84B4BD" w:rsidR="00CD04AB" w:rsidRPr="00CD04AB" w:rsidRDefault="00CD04AB" w:rsidP="00CD04AB">
      <w:pPr>
        <w:spacing w:line="360" w:lineRule="auto"/>
        <w:ind w:firstLine="720"/>
        <w:jc w:val="both"/>
        <w:rPr>
          <w:rFonts w:eastAsia="Times New Roman"/>
          <w:bCs/>
          <w:iCs/>
          <w:color w:val="000000"/>
          <w:sz w:val="28"/>
          <w:szCs w:val="28"/>
        </w:rPr>
      </w:pPr>
      <w:r w:rsidRPr="00CD04AB">
        <w:rPr>
          <w:color w:val="000000"/>
          <w:sz w:val="28"/>
          <w:szCs w:val="28"/>
        </w:rPr>
        <w:t>Như vậy, t</w:t>
      </w:r>
      <w:r w:rsidRPr="00CD04AB">
        <w:rPr>
          <w:color w:val="000000"/>
          <w:sz w:val="28"/>
          <w:szCs w:val="28"/>
        </w:rPr>
        <w:t>hông tư số 51/2023/TT-BTC</w:t>
      </w:r>
      <w:r w:rsidRPr="00CD04AB">
        <w:rPr>
          <w:color w:val="000000"/>
          <w:sz w:val="28"/>
          <w:szCs w:val="28"/>
        </w:rPr>
        <w:t xml:space="preserve"> ra đời</w:t>
      </w:r>
      <w:r>
        <w:rPr>
          <w:color w:val="000000"/>
          <w:sz w:val="28"/>
          <w:szCs w:val="28"/>
        </w:rPr>
        <w:t xml:space="preserve"> đã </w:t>
      </w:r>
      <w:r w:rsidRPr="00BC4B71">
        <w:rPr>
          <w:rFonts w:eastAsia="Times New Roman"/>
          <w:bCs/>
          <w:iCs/>
          <w:color w:val="000000"/>
          <w:sz w:val="28"/>
          <w:szCs w:val="28"/>
        </w:rPr>
        <w:t>hướng dẫn chi tiết về xây dựng dự toán chi đầu tư phát triển</w:t>
      </w:r>
      <w:r>
        <w:rPr>
          <w:rFonts w:eastAsia="Times New Roman"/>
          <w:bCs/>
          <w:iCs/>
          <w:color w:val="000000"/>
          <w:sz w:val="28"/>
          <w:szCs w:val="28"/>
        </w:rPr>
        <w:t>. Khi x</w:t>
      </w:r>
      <w:r w:rsidRPr="00CD04AB">
        <w:rPr>
          <w:color w:val="000000"/>
          <w:sz w:val="28"/>
          <w:szCs w:val="28"/>
        </w:rPr>
        <w:t>ây dựng dự toán</w:t>
      </w:r>
      <w:r>
        <w:rPr>
          <w:color w:val="000000"/>
          <w:sz w:val="28"/>
          <w:szCs w:val="28"/>
        </w:rPr>
        <w:t xml:space="preserve"> chi NSNN năm 2024 sẽ</w:t>
      </w:r>
      <w:r w:rsidRPr="00CD04AB">
        <w:rPr>
          <w:color w:val="000000"/>
          <w:sz w:val="28"/>
          <w:szCs w:val="28"/>
        </w:rPr>
        <w:t> </w:t>
      </w:r>
      <w:r w:rsidRPr="00CD04AB">
        <w:rPr>
          <w:color w:val="000000"/>
          <w:sz w:val="28"/>
          <w:szCs w:val="28"/>
        </w:rPr>
        <w:t xml:space="preserve">sát khả năng thực hiện, hạn chế tối đa việc hủy dự toán và chuyển nguồn sang năm sau. </w:t>
      </w:r>
      <w:bookmarkStart w:id="0" w:name="_GoBack"/>
      <w:bookmarkEnd w:id="0"/>
    </w:p>
    <w:p w14:paraId="5F99FE83" w14:textId="62D0E19E" w:rsidR="00BC4B71" w:rsidRPr="00BC4B71" w:rsidRDefault="00CD04AB" w:rsidP="00CD04AB">
      <w:pPr>
        <w:pStyle w:val="NormalWeb"/>
        <w:spacing w:before="0" w:beforeAutospacing="0" w:after="0" w:afterAutospacing="0" w:line="360" w:lineRule="auto"/>
        <w:jc w:val="both"/>
        <w:rPr>
          <w:b/>
          <w:color w:val="000000"/>
          <w:sz w:val="28"/>
          <w:szCs w:val="28"/>
        </w:rPr>
      </w:pPr>
      <w:r w:rsidRPr="00BC4B71">
        <w:rPr>
          <w:b/>
          <w:color w:val="000000"/>
          <w:sz w:val="28"/>
          <w:szCs w:val="28"/>
        </w:rPr>
        <w:t xml:space="preserve"> </w:t>
      </w:r>
      <w:r w:rsidR="00BC4B71" w:rsidRPr="00BC4B71">
        <w:rPr>
          <w:b/>
          <w:color w:val="000000"/>
          <w:sz w:val="28"/>
          <w:szCs w:val="28"/>
        </w:rPr>
        <w:t>Tài liệu tham khảo</w:t>
      </w:r>
    </w:p>
    <w:p w14:paraId="31C5E193" w14:textId="77777777" w:rsidR="00BC4B71" w:rsidRDefault="00BC4B71" w:rsidP="00BC4B71">
      <w:pPr>
        <w:pStyle w:val="NormalWeb"/>
        <w:spacing w:before="0" w:beforeAutospacing="0" w:after="0" w:afterAutospacing="0" w:line="360" w:lineRule="auto"/>
        <w:jc w:val="both"/>
        <w:rPr>
          <w:color w:val="000000"/>
          <w:sz w:val="28"/>
          <w:szCs w:val="28"/>
        </w:rPr>
      </w:pPr>
      <w:r>
        <w:rPr>
          <w:color w:val="000000"/>
          <w:sz w:val="28"/>
          <w:szCs w:val="28"/>
        </w:rPr>
        <w:t xml:space="preserve">1. </w:t>
      </w:r>
      <w:r w:rsidRPr="00BC4B71">
        <w:rPr>
          <w:color w:val="000000"/>
          <w:sz w:val="28"/>
          <w:szCs w:val="28"/>
        </w:rPr>
        <w:t>Thông tư số</w:t>
      </w:r>
      <w:r>
        <w:rPr>
          <w:color w:val="000000"/>
          <w:sz w:val="28"/>
          <w:szCs w:val="28"/>
        </w:rPr>
        <w:t xml:space="preserve"> 51/2023/TT-BTC</w:t>
      </w:r>
    </w:p>
    <w:p w14:paraId="0F6B9328" w14:textId="77777777" w:rsidR="00BC4B71" w:rsidRPr="00BC4B71" w:rsidRDefault="00BC4B71" w:rsidP="00BC4B71">
      <w:pPr>
        <w:pStyle w:val="NormalWeb"/>
        <w:spacing w:before="0" w:beforeAutospacing="0" w:after="0" w:afterAutospacing="0" w:line="360" w:lineRule="auto"/>
        <w:jc w:val="both"/>
        <w:rPr>
          <w:color w:val="000000"/>
          <w:sz w:val="28"/>
          <w:szCs w:val="28"/>
        </w:rPr>
      </w:pPr>
    </w:p>
    <w:p w14:paraId="2CF91556" w14:textId="77777777" w:rsidR="00BC4B71" w:rsidRPr="00BC4B71" w:rsidRDefault="00BC4B71" w:rsidP="00BC4B71">
      <w:pPr>
        <w:spacing w:line="360" w:lineRule="auto"/>
        <w:rPr>
          <w:sz w:val="28"/>
          <w:szCs w:val="28"/>
        </w:rPr>
      </w:pPr>
    </w:p>
    <w:sectPr w:rsidR="00BC4B71" w:rsidRPr="00BC4B71"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B71"/>
    <w:rsid w:val="00881389"/>
    <w:rsid w:val="0096494A"/>
    <w:rsid w:val="00A90EBD"/>
    <w:rsid w:val="00BC4B71"/>
    <w:rsid w:val="00CD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55617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4AB"/>
    <w:rPr>
      <w:rFonts w:ascii="Times New Roman" w:hAnsi="Times New Roman" w:cs="Times New Roman"/>
    </w:rPr>
  </w:style>
  <w:style w:type="paragraph" w:styleId="Heading1">
    <w:name w:val="heading 1"/>
    <w:basedOn w:val="Normal"/>
    <w:link w:val="Heading1Char"/>
    <w:uiPriority w:val="9"/>
    <w:qFormat/>
    <w:rsid w:val="00BC4B7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BC4B7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B71"/>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C4B7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BC4B71"/>
    <w:pPr>
      <w:spacing w:before="100" w:beforeAutospacing="1" w:after="100" w:afterAutospacing="1"/>
    </w:pPr>
  </w:style>
  <w:style w:type="character" w:customStyle="1" w:styleId="apple-converted-space">
    <w:name w:val="apple-converted-space"/>
    <w:basedOn w:val="DefaultParagraphFont"/>
    <w:rsid w:val="00CD0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695676">
      <w:bodyDiv w:val="1"/>
      <w:marLeft w:val="0"/>
      <w:marRight w:val="0"/>
      <w:marTop w:val="0"/>
      <w:marBottom w:val="0"/>
      <w:divBdr>
        <w:top w:val="none" w:sz="0" w:space="0" w:color="auto"/>
        <w:left w:val="none" w:sz="0" w:space="0" w:color="auto"/>
        <w:bottom w:val="none" w:sz="0" w:space="0" w:color="auto"/>
        <w:right w:val="none" w:sz="0" w:space="0" w:color="auto"/>
      </w:divBdr>
    </w:div>
    <w:div w:id="709960266">
      <w:bodyDiv w:val="1"/>
      <w:marLeft w:val="0"/>
      <w:marRight w:val="0"/>
      <w:marTop w:val="0"/>
      <w:marBottom w:val="0"/>
      <w:divBdr>
        <w:top w:val="none" w:sz="0" w:space="0" w:color="auto"/>
        <w:left w:val="none" w:sz="0" w:space="0" w:color="auto"/>
        <w:bottom w:val="none" w:sz="0" w:space="0" w:color="auto"/>
        <w:right w:val="none" w:sz="0" w:space="0" w:color="auto"/>
      </w:divBdr>
    </w:div>
    <w:div w:id="854879696">
      <w:bodyDiv w:val="1"/>
      <w:marLeft w:val="0"/>
      <w:marRight w:val="0"/>
      <w:marTop w:val="0"/>
      <w:marBottom w:val="0"/>
      <w:divBdr>
        <w:top w:val="none" w:sz="0" w:space="0" w:color="auto"/>
        <w:left w:val="none" w:sz="0" w:space="0" w:color="auto"/>
        <w:bottom w:val="none" w:sz="0" w:space="0" w:color="auto"/>
        <w:right w:val="none" w:sz="0" w:space="0" w:color="auto"/>
      </w:divBdr>
    </w:div>
    <w:div w:id="1217550728">
      <w:bodyDiv w:val="1"/>
      <w:marLeft w:val="0"/>
      <w:marRight w:val="0"/>
      <w:marTop w:val="0"/>
      <w:marBottom w:val="0"/>
      <w:divBdr>
        <w:top w:val="none" w:sz="0" w:space="0" w:color="auto"/>
        <w:left w:val="none" w:sz="0" w:space="0" w:color="auto"/>
        <w:bottom w:val="none" w:sz="0" w:space="0" w:color="auto"/>
        <w:right w:val="none" w:sz="0" w:space="0" w:color="auto"/>
      </w:divBdr>
    </w:div>
    <w:div w:id="17957561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798</Words>
  <Characters>4551</Characters>
  <Application>Microsoft Macintosh Word</Application>
  <DocSecurity>0</DocSecurity>
  <Lines>37</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Trao đổi về hướng dẫn chi tiết về xây dựng dự toán chi đầu tư phát triển</vt:lpstr>
      <vt:lpstr>    </vt:lpstr>
      <vt:lpstr>    Thông tư số 51/2023/TT-BTC ngày 17/7/2023 của Bộ Tài chính ban hành đã hướng dẫn</vt:lpstr>
    </vt:vector>
  </TitlesOfParts>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2023-08-04T02:34:00Z</dcterms:created>
  <dcterms:modified xsi:type="dcterms:W3CDTF">2023-08-04T02:52:00Z</dcterms:modified>
</cp:coreProperties>
</file>