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17018" w14:textId="1C3510A9" w:rsidR="004A01F4" w:rsidRDefault="004A01F4" w:rsidP="004A01F4">
      <w:pPr>
        <w:shd w:val="clear" w:color="auto" w:fill="FFFFFF"/>
        <w:spacing w:after="0" w:line="312" w:lineRule="auto"/>
        <w:jc w:val="center"/>
        <w:rPr>
          <w:rFonts w:ascii="Times New Roman" w:eastAsia="Times New Roman" w:hAnsi="Times New Roman" w:cs="Times New Roman"/>
          <w:b/>
          <w:bCs/>
          <w:color w:val="151617"/>
          <w:sz w:val="28"/>
          <w:szCs w:val="28"/>
        </w:rPr>
      </w:pPr>
      <w:r w:rsidRPr="004A01F4">
        <w:rPr>
          <w:rFonts w:ascii="Times New Roman" w:eastAsia="Times New Roman" w:hAnsi="Times New Roman" w:cs="Times New Roman"/>
          <w:b/>
          <w:bCs/>
          <w:color w:val="151617"/>
          <w:sz w:val="28"/>
          <w:szCs w:val="28"/>
        </w:rPr>
        <w:t xml:space="preserve">LÀM SAO CHO KHOẢN CHI CHO NHÂN VIÊN TRONG ĐỢT DỊCH COVID-19 LÀ </w:t>
      </w:r>
      <w:r>
        <w:rPr>
          <w:rFonts w:ascii="Times New Roman" w:eastAsia="Times New Roman" w:hAnsi="Times New Roman" w:cs="Times New Roman"/>
          <w:b/>
          <w:bCs/>
          <w:color w:val="151617"/>
          <w:sz w:val="28"/>
          <w:szCs w:val="28"/>
        </w:rPr>
        <w:t xml:space="preserve">CHI PHÍ </w:t>
      </w:r>
      <w:r w:rsidRPr="004A01F4">
        <w:rPr>
          <w:rFonts w:ascii="Times New Roman" w:eastAsia="Times New Roman" w:hAnsi="Times New Roman" w:cs="Times New Roman"/>
          <w:b/>
          <w:bCs/>
          <w:color w:val="151617"/>
          <w:sz w:val="28"/>
          <w:szCs w:val="28"/>
        </w:rPr>
        <w:t>HỢP LÝ</w:t>
      </w:r>
      <w:r>
        <w:rPr>
          <w:rFonts w:ascii="Times New Roman" w:eastAsia="Times New Roman" w:hAnsi="Times New Roman" w:cs="Times New Roman"/>
          <w:b/>
          <w:bCs/>
          <w:color w:val="151617"/>
          <w:sz w:val="28"/>
          <w:szCs w:val="28"/>
        </w:rPr>
        <w:t xml:space="preserve"> KHI TÍNH THUẾ TNDN, TNCN</w:t>
      </w:r>
      <w:r w:rsidRPr="004A01F4">
        <w:rPr>
          <w:rFonts w:ascii="Times New Roman" w:eastAsia="Times New Roman" w:hAnsi="Times New Roman" w:cs="Times New Roman"/>
          <w:b/>
          <w:bCs/>
          <w:color w:val="151617"/>
          <w:sz w:val="28"/>
          <w:szCs w:val="28"/>
        </w:rPr>
        <w:t>?</w:t>
      </w:r>
    </w:p>
    <w:p w14:paraId="6086ED3B" w14:textId="77777777" w:rsidR="00A81F2B" w:rsidRPr="004A01F4" w:rsidRDefault="00A81F2B" w:rsidP="00A81F2B">
      <w:pPr>
        <w:spacing w:after="0" w:line="312" w:lineRule="auto"/>
        <w:ind w:firstLine="360"/>
        <w:jc w:val="right"/>
        <w:rPr>
          <w:rFonts w:ascii="Times New Roman" w:hAnsi="Times New Roman" w:cs="Times New Roman"/>
          <w:sz w:val="26"/>
          <w:szCs w:val="26"/>
        </w:rPr>
      </w:pPr>
      <w:r>
        <w:rPr>
          <w:rFonts w:ascii="Times New Roman" w:hAnsi="Times New Roman" w:cs="Times New Roman"/>
          <w:sz w:val="26"/>
          <w:szCs w:val="26"/>
        </w:rPr>
        <w:t>ThS Võ Hồng Hạnh</w:t>
      </w:r>
    </w:p>
    <w:p w14:paraId="3ACCDEAA" w14:textId="77777777" w:rsidR="00A81F2B" w:rsidRPr="004A01F4" w:rsidRDefault="00A81F2B" w:rsidP="004A01F4">
      <w:pPr>
        <w:shd w:val="clear" w:color="auto" w:fill="FFFFFF"/>
        <w:spacing w:after="0" w:line="312" w:lineRule="auto"/>
        <w:jc w:val="center"/>
        <w:rPr>
          <w:rFonts w:ascii="Times New Roman" w:eastAsia="Times New Roman" w:hAnsi="Times New Roman" w:cs="Times New Roman"/>
          <w:b/>
          <w:bCs/>
          <w:color w:val="151617"/>
          <w:sz w:val="28"/>
          <w:szCs w:val="28"/>
        </w:rPr>
      </w:pPr>
    </w:p>
    <w:p w14:paraId="51AE504C" w14:textId="3C3F1410"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 Căn cứ Điều 4 </w:t>
      </w:r>
      <w:hyperlink r:id="rId4" w:history="1">
        <w:r w:rsidRPr="004A01F4">
          <w:rPr>
            <w:rFonts w:ascii="Times New Roman" w:eastAsia="Times New Roman" w:hAnsi="Times New Roman" w:cs="Times New Roman"/>
            <w:color w:val="004175"/>
            <w:sz w:val="26"/>
            <w:szCs w:val="26"/>
          </w:rPr>
          <w:t>Thông tư 96/2015/TT-BTC</w:t>
        </w:r>
      </w:hyperlink>
      <w:r w:rsidRPr="004A01F4">
        <w:rPr>
          <w:rFonts w:ascii="Times New Roman" w:eastAsia="Times New Roman" w:hAnsi="Times New Roman" w:cs="Times New Roman"/>
          <w:color w:val="151617"/>
          <w:sz w:val="26"/>
          <w:szCs w:val="26"/>
        </w:rPr>
        <w:t> ngày 22/6/2015 của Bộ Tài chính hướng dẫn về thuế TNDN tại Nghị định 12/2015/NĐ-CP ngày 12/2/2015 của Chính phủ hướng dẫn việc xác định chi phí được trừ, không được trừ khi tính thu nhập chịu thuế TNDN thì các khoản chi phí không được trừ gồm:</w:t>
      </w:r>
    </w:p>
    <w:p w14:paraId="274B558B"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“Điều 4. Sửa đổi, bổ sung Điều 6 </w:t>
      </w:r>
      <w:hyperlink r:id="rId5" w:history="1">
        <w:r w:rsidRPr="004A01F4">
          <w:rPr>
            <w:rFonts w:ascii="Times New Roman" w:eastAsia="Times New Roman" w:hAnsi="Times New Roman" w:cs="Times New Roman"/>
            <w:color w:val="004175"/>
            <w:sz w:val="26"/>
            <w:szCs w:val="26"/>
          </w:rPr>
          <w:t>Thông tư số 78/2014/TT-BTC</w:t>
        </w:r>
      </w:hyperlink>
      <w:r w:rsidRPr="004A01F4">
        <w:rPr>
          <w:rFonts w:ascii="Times New Roman" w:eastAsia="Times New Roman" w:hAnsi="Times New Roman" w:cs="Times New Roman"/>
          <w:color w:val="151617"/>
          <w:sz w:val="26"/>
          <w:szCs w:val="26"/>
        </w:rPr>
        <w:t> (đã được sửa đổi, bổ sung tại Khoản 2, Điều 6 Thông tư số 119/2014/TT-BTC và Điều 1 Thông tư số 151/2014/TT-BTC) như sau:</w:t>
      </w:r>
    </w:p>
    <w:p w14:paraId="101D787C"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“Điều 6. Các khoản chi được trừ và không được trừ khi xác định thu nhập chịu thuế</w:t>
      </w:r>
    </w:p>
    <w:p w14:paraId="55A3EF5B" w14:textId="77777777" w:rsidR="004A01F4" w:rsidRPr="004A01F4" w:rsidRDefault="004A01F4" w:rsidP="004A01F4">
      <w:pPr>
        <w:shd w:val="clear" w:color="auto" w:fill="FFFFFF"/>
        <w:spacing w:after="0" w:line="312" w:lineRule="auto"/>
        <w:ind w:firstLine="360"/>
        <w:jc w:val="both"/>
        <w:outlineLvl w:val="1"/>
        <w:rPr>
          <w:rFonts w:ascii="Times New Roman" w:eastAsia="Times New Roman" w:hAnsi="Times New Roman" w:cs="Times New Roman"/>
          <w:b/>
          <w:bCs/>
          <w:color w:val="222222"/>
          <w:sz w:val="26"/>
          <w:szCs w:val="26"/>
        </w:rPr>
      </w:pPr>
      <w:r w:rsidRPr="004A01F4">
        <w:rPr>
          <w:rFonts w:ascii="Times New Roman" w:eastAsia="Times New Roman" w:hAnsi="Times New Roman" w:cs="Times New Roman"/>
          <w:b/>
          <w:bCs/>
          <w:color w:val="222222"/>
          <w:sz w:val="26"/>
          <w:szCs w:val="26"/>
        </w:rPr>
        <w:t>1. Trừ các khoản chi không được trừ nêu tại Khoản 2 Điều này, doanh nghiệp được trừ mọi khoản chi nếu đáp ứng đủ các điều kiện sau:</w:t>
      </w:r>
    </w:p>
    <w:p w14:paraId="0D226CC0"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a) Khoản chi thực tế phát sinh liên quan đến hoạt động sản xuất, kinh doanh của doanh nghiệp.</w:t>
      </w:r>
    </w:p>
    <w:p w14:paraId="7CB2AA6F"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b) Khoản chi có đủ hoá đơn, chứng từ hợp pháp theo quy định của pháp luật.</w:t>
      </w:r>
    </w:p>
    <w:p w14:paraId="6D41565D"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c) Khoản chi nếu có hoá đơn mua hàng hoá, dịch vụ từng lần có giá trị từ 20 triệu đồng trở lên (giá đã bao gồm thuế GTGT) khi thanh toán phải có chứng từ thanh toán không dùng tiền mặt.</w:t>
      </w:r>
    </w:p>
    <w:p w14:paraId="7E9B194E"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Chứng từ thanh toán không dùng tiền mặt thực hiện theo quy định của các văn bản pháp luật về thuế GTGT…</w:t>
      </w:r>
    </w:p>
    <w:p w14:paraId="1F26B85A" w14:textId="77777777" w:rsidR="004A01F4" w:rsidRPr="004A01F4" w:rsidRDefault="004A01F4" w:rsidP="004A01F4">
      <w:pPr>
        <w:shd w:val="clear" w:color="auto" w:fill="FFFFFF"/>
        <w:spacing w:after="0" w:line="312" w:lineRule="auto"/>
        <w:ind w:firstLine="360"/>
        <w:jc w:val="both"/>
        <w:outlineLvl w:val="1"/>
        <w:rPr>
          <w:rFonts w:ascii="Times New Roman" w:eastAsia="Times New Roman" w:hAnsi="Times New Roman" w:cs="Times New Roman"/>
          <w:b/>
          <w:bCs/>
          <w:color w:val="222222"/>
          <w:sz w:val="26"/>
          <w:szCs w:val="26"/>
        </w:rPr>
      </w:pPr>
      <w:r w:rsidRPr="004A01F4">
        <w:rPr>
          <w:rFonts w:ascii="Times New Roman" w:eastAsia="Times New Roman" w:hAnsi="Times New Roman" w:cs="Times New Roman"/>
          <w:b/>
          <w:bCs/>
          <w:color w:val="222222"/>
          <w:sz w:val="26"/>
          <w:szCs w:val="26"/>
        </w:rPr>
        <w:t>2. Các khoản chi không được trừ khi xác định thu nhập chịu thuế bao gồm:</w:t>
      </w:r>
    </w:p>
    <w:p w14:paraId="2B7B27A4"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 2.30. Các khoản chi không tương ứng với doanh thu tính thuế, trừ các khoản chi sau:</w:t>
      </w:r>
    </w:p>
    <w:p w14:paraId="2EAC9B57"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 xml:space="preserve">… – Khoản chi có tính chất phúc lợi chi trực tiếp cho người lao động như: Chi đám hiếu, hỷ của bản thân và gia đình người lao động; chi nghỉ mát, chi hỗ trợ điều trị; chi hỗ trợ bổ sung kiến thức học tập tại cơ sở đào tạo; chi hỗ trợ gia đình người lao động bị ảnh hưởng bởi thiên tai, địch họa, tai nạn, ốm đau; chi khen thưởng con của người lao động có thành tích tốt trong học tập; chi hỗ trợ chi phí đi lại ngày lễ, tết cho người lao động; chi bảo hiểm tai nạn, bảo hiểm sức khỏe, bảo hiểm tự nguyện khác cho người lao động (trừ khoản chi mua bảo hiểm nhân thọ cho người lao động hướng dẫn tại Điểm 2.6, bảo hiểm hưu trí tự nguyện cho người lao động hướng dẫn tại Điểm 2.11 Điều này) và những khoản chi có tính chất phúc lợi khác. Tổng số chi có tính chất phúc lợi nêu </w:t>
      </w:r>
      <w:r w:rsidRPr="004A01F4">
        <w:rPr>
          <w:rFonts w:ascii="Times New Roman" w:eastAsia="Times New Roman" w:hAnsi="Times New Roman" w:cs="Times New Roman"/>
          <w:color w:val="151617"/>
          <w:sz w:val="26"/>
          <w:szCs w:val="26"/>
        </w:rPr>
        <w:lastRenderedPageBreak/>
        <w:t>trên không quá 01 tháng lương bình quân thực tế thực hiện trong năm tính thuế của doanh nghiệp…”.</w:t>
      </w:r>
    </w:p>
    <w:p w14:paraId="2ED02D80"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 Căn cứ Tiết đ.3.2 Khoản 2, Điều 2 </w:t>
      </w:r>
      <w:hyperlink r:id="rId6" w:history="1">
        <w:r w:rsidRPr="004A01F4">
          <w:rPr>
            <w:rFonts w:ascii="Times New Roman" w:eastAsia="Times New Roman" w:hAnsi="Times New Roman" w:cs="Times New Roman"/>
            <w:color w:val="004175"/>
            <w:sz w:val="26"/>
            <w:szCs w:val="26"/>
          </w:rPr>
          <w:t>Thông tư 111/2013/TT-BTC</w:t>
        </w:r>
      </w:hyperlink>
      <w:r w:rsidRPr="004A01F4">
        <w:rPr>
          <w:rFonts w:ascii="Times New Roman" w:eastAsia="Times New Roman" w:hAnsi="Times New Roman" w:cs="Times New Roman"/>
          <w:color w:val="151617"/>
          <w:sz w:val="26"/>
          <w:szCs w:val="26"/>
        </w:rPr>
        <w:t> ngày 15/8/2013, quy định các khoản thu nhập chịu thuế TNCN:</w:t>
      </w:r>
    </w:p>
    <w:p w14:paraId="036E59A0"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“2. Thu nhập từ tiền lương, tiền công</w:t>
      </w:r>
    </w:p>
    <w:p w14:paraId="3B710599"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đ) Các khoản lợi ích bằng tiền hoặc không bằng tiền ngoài tiền lương, tiền công do người sử dụng lao động trả mà người nộp thuế được hưởng dưới mọi hình thức:</w:t>
      </w:r>
    </w:p>
    <w:p w14:paraId="79F09A71"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đ.3.2) Khoản chi dịch vụ khác phục vụ cho cá nhân trong hoạt động chăm sóc sức khoẻ, vui chơi, giải trí thẩm mỹ… nếu nội dung chi trả ghi rõ tên cá nhân được hưởng. Trường hợp nội dung chi trả phí dịch vụ không ghi tên cá nhân đ</w:t>
      </w:r>
      <w:bookmarkStart w:id="0" w:name="_GoBack"/>
      <w:bookmarkEnd w:id="0"/>
      <w:r w:rsidRPr="004A01F4">
        <w:rPr>
          <w:rFonts w:ascii="Times New Roman" w:eastAsia="Times New Roman" w:hAnsi="Times New Roman" w:cs="Times New Roman"/>
          <w:color w:val="151617"/>
          <w:sz w:val="26"/>
          <w:szCs w:val="26"/>
        </w:rPr>
        <w:t>ược hưởng mà chi chung cho tập thể người lao động thì không tính vào thu nhập chịu thuế.</w:t>
      </w:r>
    </w:p>
    <w:p w14:paraId="1E61D56B"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đ.7) Các khoản lợi ích khác.</w:t>
      </w:r>
    </w:p>
    <w:p w14:paraId="2A4520CC"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Các khoản lợi ích khác mà người sử dụng lao động chi cho người lao động như: Chi trong các ngày nghỉ, lễ; thuê các dịch vụ tư vấn, thuê khai thuế cho đích danh một hoặc một nhóm cá nhân; chi cho người giúp việc gia đình như lái xe, người nấu ăn, người làm các công việc khác trong gia đình theo hợp đồng…”.</w:t>
      </w:r>
    </w:p>
    <w:p w14:paraId="3907EB0E"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 Căn cứ Điều 63 Thông tư</w:t>
      </w:r>
      <w:r w:rsidRPr="004A01F4">
        <w:rPr>
          <w:rFonts w:ascii="Times New Roman" w:eastAsia="Times New Roman" w:hAnsi="Times New Roman" w:cs="Times New Roman"/>
          <w:color w:val="151617"/>
          <w:sz w:val="26"/>
          <w:szCs w:val="26"/>
          <w:u w:val="single"/>
        </w:rPr>
        <w:t> 200/2014/TT-BTC</w:t>
      </w:r>
      <w:r w:rsidRPr="004A01F4">
        <w:rPr>
          <w:rFonts w:ascii="Times New Roman" w:eastAsia="Times New Roman" w:hAnsi="Times New Roman" w:cs="Times New Roman"/>
          <w:color w:val="151617"/>
          <w:sz w:val="26"/>
          <w:szCs w:val="26"/>
        </w:rPr>
        <w:t> ngày 22/12/2014 của Bộ Tài chính hướng dẫn chế độ kế toán doanh nghiệp:</w:t>
      </w:r>
    </w:p>
    <w:p w14:paraId="7FD153B8"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“Điều 63. Tài khoản 353 – Quỹ khen thưởng, phúc lợi</w:t>
      </w:r>
    </w:p>
    <w:p w14:paraId="1C85BFAB"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1. Nguyên tắc kế toán</w:t>
      </w:r>
    </w:p>
    <w:p w14:paraId="5216C67B" w14:textId="77777777" w:rsidR="004A01F4" w:rsidRPr="004A01F4" w:rsidRDefault="004A01F4" w:rsidP="004A01F4">
      <w:pPr>
        <w:shd w:val="clear" w:color="auto" w:fill="FFFFFF"/>
        <w:spacing w:after="0" w:line="312" w:lineRule="auto"/>
        <w:ind w:firstLine="360"/>
        <w:jc w:val="both"/>
        <w:rPr>
          <w:rFonts w:ascii="Times New Roman" w:eastAsia="Times New Roman" w:hAnsi="Times New Roman" w:cs="Times New Roman"/>
          <w:color w:val="151617"/>
          <w:sz w:val="26"/>
          <w:szCs w:val="26"/>
        </w:rPr>
      </w:pPr>
      <w:r w:rsidRPr="004A01F4">
        <w:rPr>
          <w:rFonts w:ascii="Times New Roman" w:eastAsia="Times New Roman" w:hAnsi="Times New Roman" w:cs="Times New Roman"/>
          <w:color w:val="151617"/>
          <w:sz w:val="26"/>
          <w:szCs w:val="26"/>
        </w:rPr>
        <w:t>a) Quỹ khen thưởng, quỹ phúc lợi được trích từ lợi nhuận sau thuế TNDN của doanh nghiệp để dùng cho công tác khen thưởng, khuyến khích lợi ích vật chất, phục vụ nhu cầu phúc lợi công cộng, cải thiện và nâng cao đời sống vật chất, tinh thần của người lao động…”.</w:t>
      </w:r>
    </w:p>
    <w:p w14:paraId="23AE8B36" w14:textId="7714D749" w:rsidR="00A6363C" w:rsidRPr="004A01F4" w:rsidRDefault="00A6363C" w:rsidP="004A01F4">
      <w:pPr>
        <w:spacing w:after="0" w:line="312" w:lineRule="auto"/>
        <w:ind w:firstLine="360"/>
        <w:rPr>
          <w:rFonts w:ascii="Times New Roman" w:hAnsi="Times New Roman" w:cs="Times New Roman"/>
          <w:sz w:val="26"/>
          <w:szCs w:val="26"/>
        </w:rPr>
      </w:pPr>
    </w:p>
    <w:p w14:paraId="6C119BDA" w14:textId="01DBAE08" w:rsidR="004A01F4" w:rsidRPr="00FB20F1" w:rsidRDefault="004A01F4" w:rsidP="004A01F4">
      <w:pPr>
        <w:pStyle w:val="NormalWeb"/>
        <w:shd w:val="clear" w:color="auto" w:fill="FFFFFF"/>
        <w:spacing w:before="0" w:beforeAutospacing="0" w:after="0" w:afterAutospacing="0" w:line="312" w:lineRule="auto"/>
        <w:ind w:firstLine="360"/>
        <w:jc w:val="both"/>
        <w:rPr>
          <w:bCs/>
          <w:color w:val="151617"/>
          <w:sz w:val="26"/>
          <w:szCs w:val="26"/>
        </w:rPr>
      </w:pPr>
      <w:r w:rsidRPr="00FB20F1">
        <w:rPr>
          <w:bCs/>
          <w:sz w:val="26"/>
          <w:szCs w:val="26"/>
        </w:rPr>
        <w:t xml:space="preserve">Vậy căn cứ theo các nội dung trên thì </w:t>
      </w:r>
      <w:r w:rsidRPr="00FB20F1">
        <w:rPr>
          <w:bCs/>
          <w:color w:val="151617"/>
          <w:sz w:val="26"/>
          <w:szCs w:val="26"/>
        </w:rPr>
        <w:t>trường hợp doanh nghiệp trong đợt dịch Covid-19 có phát sinh một số khoản chi như mua khẩu trang, nước sát khuẩn tay, một số phụ kiện bảo hộ và chi xét nghiệm các bệnh truyền nhiễm cho nhân viên để phòng ngừa lây nhiễm vi rút Covid-19…, nếu khoản chi ghi rõ tên cá nhân hưởng thì khoản chi này tính vào thu nhập chịu thuế TNCN; nếu khoản chi không ghi rõ tên cá nhân hưởng mà chi chung cho tập thể người lao động thì không tính vào thu nhập chịu thuế TNCN.</w:t>
      </w:r>
    </w:p>
    <w:p w14:paraId="7A94DAB3" w14:textId="77777777" w:rsidR="004A01F4" w:rsidRPr="00FB20F1" w:rsidRDefault="004A01F4" w:rsidP="004A01F4">
      <w:pPr>
        <w:pStyle w:val="NormalWeb"/>
        <w:shd w:val="clear" w:color="auto" w:fill="FFFFFF"/>
        <w:spacing w:before="0" w:beforeAutospacing="0" w:after="0" w:afterAutospacing="0" w:line="312" w:lineRule="auto"/>
        <w:ind w:firstLine="360"/>
        <w:jc w:val="both"/>
        <w:rPr>
          <w:bCs/>
          <w:color w:val="151617"/>
          <w:sz w:val="26"/>
          <w:szCs w:val="26"/>
        </w:rPr>
      </w:pPr>
      <w:r w:rsidRPr="00FB20F1">
        <w:rPr>
          <w:bCs/>
          <w:color w:val="151617"/>
          <w:sz w:val="26"/>
          <w:szCs w:val="26"/>
        </w:rPr>
        <w:t>Các khoản chi nêu trên là các khoản chi trực tiếp cho người lao động ngoài các khoản chi lương thưởng đã thỏa thuận và phù hợp với quy định của pháp luật nhằm cải thiện, nâng cao đời sống vật chất, tinh thần cho người lao động được xác định là chi phí được trừ khi xác định thu nhập chịu thuế TNDN nếu đáp ứng quy định tại Khoản 1, Điều 4 </w:t>
      </w:r>
      <w:hyperlink r:id="rId7" w:history="1">
        <w:r w:rsidRPr="00FB20F1">
          <w:rPr>
            <w:rStyle w:val="Hyperlink"/>
            <w:bCs/>
            <w:color w:val="004175"/>
            <w:sz w:val="26"/>
            <w:szCs w:val="26"/>
            <w:u w:val="none"/>
          </w:rPr>
          <w:t>Thông tư 96/2015/TT-BTC</w:t>
        </w:r>
      </w:hyperlink>
      <w:r w:rsidRPr="00FB20F1">
        <w:rPr>
          <w:bCs/>
          <w:color w:val="151617"/>
          <w:sz w:val="26"/>
          <w:szCs w:val="26"/>
        </w:rPr>
        <w:t> nêu trên và tổng số chi có tính chất phúc lợi không quá 1 tháng lương bình quân thực tế trong năm tính thuế của doanh nghiệp.</w:t>
      </w:r>
    </w:p>
    <w:p w14:paraId="7593F1B8" w14:textId="4030B3BB" w:rsidR="004A01F4" w:rsidRPr="004A01F4" w:rsidRDefault="009A2E66" w:rsidP="009A2E66">
      <w:pPr>
        <w:spacing w:after="0" w:line="312" w:lineRule="auto"/>
        <w:ind w:firstLine="360"/>
        <w:jc w:val="right"/>
        <w:rPr>
          <w:rFonts w:ascii="Times New Roman" w:hAnsi="Times New Roman" w:cs="Times New Roman"/>
          <w:sz w:val="26"/>
          <w:szCs w:val="26"/>
        </w:rPr>
      </w:pPr>
      <w:r>
        <w:rPr>
          <w:rFonts w:ascii="Times New Roman" w:hAnsi="Times New Roman" w:cs="Times New Roman"/>
          <w:sz w:val="26"/>
          <w:szCs w:val="26"/>
        </w:rPr>
        <w:t>ThS Võ Hồng Hạnh</w:t>
      </w:r>
    </w:p>
    <w:sectPr w:rsidR="004A01F4" w:rsidRPr="004A01F4" w:rsidSect="004A01F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F4"/>
    <w:rsid w:val="004A01F4"/>
    <w:rsid w:val="008965F2"/>
    <w:rsid w:val="009A2E66"/>
    <w:rsid w:val="00A6363C"/>
    <w:rsid w:val="00A81F2B"/>
    <w:rsid w:val="00CD794D"/>
    <w:rsid w:val="00FB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F38C"/>
  <w15:chartTrackingRefBased/>
  <w15:docId w15:val="{CD4E872B-510C-4E37-A3B0-8BD22D46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A01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01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A01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01F4"/>
    <w:rPr>
      <w:color w:val="0000FF"/>
      <w:u w:val="single"/>
    </w:rPr>
  </w:style>
  <w:style w:type="character" w:styleId="Strong">
    <w:name w:val="Strong"/>
    <w:basedOn w:val="DefaultParagraphFont"/>
    <w:uiPriority w:val="22"/>
    <w:qFormat/>
    <w:rsid w:val="004A0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263342">
      <w:bodyDiv w:val="1"/>
      <w:marLeft w:val="0"/>
      <w:marRight w:val="0"/>
      <w:marTop w:val="0"/>
      <w:marBottom w:val="0"/>
      <w:divBdr>
        <w:top w:val="none" w:sz="0" w:space="0" w:color="auto"/>
        <w:left w:val="none" w:sz="0" w:space="0" w:color="auto"/>
        <w:bottom w:val="none" w:sz="0" w:space="0" w:color="auto"/>
        <w:right w:val="none" w:sz="0" w:space="0" w:color="auto"/>
      </w:divBdr>
    </w:div>
    <w:div w:id="190382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intucketoan.com/thong-tu-962015tt-btc-huong-dan-ve-thue-tnd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ntucketoan.com/thong-tu-1112013tt-btc-huong-dan-luat-thue-tncn/" TargetMode="External"/><Relationship Id="rId5" Type="http://schemas.openxmlformats.org/officeDocument/2006/relationships/hyperlink" Target="https://tintucketoan.com/thong-tu-782014tt-btc-huong-dan-ve-luat-thue-tndn/" TargetMode="External"/><Relationship Id="rId4" Type="http://schemas.openxmlformats.org/officeDocument/2006/relationships/hyperlink" Target="https://tintucketoan.com/thong-tu-962015tt-btc-huong-dan-ve-thue-tnd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Hong Ha</dc:creator>
  <cp:keywords/>
  <dc:description/>
  <cp:lastModifiedBy>NL NHÂN</cp:lastModifiedBy>
  <cp:revision>6</cp:revision>
  <dcterms:created xsi:type="dcterms:W3CDTF">2020-11-16T02:12:00Z</dcterms:created>
  <dcterms:modified xsi:type="dcterms:W3CDTF">2020-11-18T01:50:00Z</dcterms:modified>
</cp:coreProperties>
</file>