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3B54" w14:textId="2243CF75" w:rsidR="00553574" w:rsidRPr="00553574" w:rsidRDefault="00553574" w:rsidP="00553574">
      <w:pPr>
        <w:spacing w:before="450" w:after="30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55357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XỬ LÝ ĐỐI VỚI CÁC HÓA ĐƠN ĐẦU VÀO TỪ CÁC DOANH NGHIỆP RỦI RO VỀ THUẾ</w:t>
      </w:r>
    </w:p>
    <w:p w14:paraId="4862EEA4" w14:textId="77777777" w:rsidR="00553574" w:rsidRPr="00553574" w:rsidRDefault="00553574" w:rsidP="00553574">
      <w:pPr>
        <w:shd w:val="clear" w:color="auto" w:fill="F9F9F9"/>
        <w:ind w:firstLine="720"/>
        <w:jc w:val="both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</w:pP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Doanh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nghiệp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thuộc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loại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rủi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ro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cao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về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thuế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là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doanh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nghiệp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có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dấu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hiệu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rủi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ro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trong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quản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lý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sử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dụng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hóa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đơn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dựa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trên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các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tiêu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chí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đánh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giá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cụ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thể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… (Theo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Quyết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định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78/QĐ-TCT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năm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2023 do TCT ban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hành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)</w:t>
      </w:r>
    </w:p>
    <w:p w14:paraId="1669DD5A" w14:textId="77777777" w:rsidR="00553574" w:rsidRPr="00553574" w:rsidRDefault="00553574" w:rsidP="00553574">
      <w:pPr>
        <w:spacing w:after="390" w:line="36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Do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thuộc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danh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sách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524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rủi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ro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kể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đánh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rủi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ro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cao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. </w:t>
      </w:r>
    </w:p>
    <w:p w14:paraId="765D7C04" w14:textId="77777777" w:rsidR="00553574" w:rsidRPr="00553574" w:rsidRDefault="00553574" w:rsidP="00553574">
      <w:pPr>
        <w:spacing w:after="390" w:line="36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Dựa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Quản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2019,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tư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31/2021/TT-BTC,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tư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219/2013/TT-BTC,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11797/BTC-TCT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2014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hướng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nằm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danh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sách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524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rủi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ro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cao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xử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553574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tbl>
      <w:tblPr>
        <w:tblW w:w="98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3960"/>
        <w:gridCol w:w="3601"/>
      </w:tblGrid>
      <w:tr w:rsidR="00553574" w:rsidRPr="00553574" w14:paraId="35C7C783" w14:textId="77777777" w:rsidTr="00553574">
        <w:trPr>
          <w:trHeight w:val="477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6B99BD" w14:textId="77777777" w:rsidR="00553574" w:rsidRPr="00553574" w:rsidRDefault="00553574" w:rsidP="00553574">
            <w:pPr>
              <w:spacing w:after="315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F5E444" w14:textId="77777777" w:rsidR="00553574" w:rsidRPr="00553574" w:rsidRDefault="00553574" w:rsidP="00553574">
            <w:pPr>
              <w:spacing w:after="315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42E13E" w14:textId="77777777" w:rsidR="00553574" w:rsidRPr="00553574" w:rsidRDefault="00553574" w:rsidP="00553574">
            <w:pPr>
              <w:spacing w:after="315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lý</w:t>
            </w:r>
            <w:proofErr w:type="spellEnd"/>
          </w:p>
        </w:tc>
      </w:tr>
      <w:tr w:rsidR="00553574" w:rsidRPr="00553574" w14:paraId="178D7866" w14:textId="77777777" w:rsidTr="00553574">
        <w:trPr>
          <w:trHeight w:val="2877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3DCB13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sinh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trước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bỏ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trốn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</w:t>
            </w:r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A4739D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–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phải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kiểm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hay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khống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lý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vi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phạm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  <w:t xml:space="preserve">–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Yêu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cầu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chứng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minh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chịu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trách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nhiệm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trước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việc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;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dụng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phục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vụ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hoạt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động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kinh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đã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ra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đã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hạch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toán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toán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đủ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đúng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F43477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theo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tính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chi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chịu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TNDN.</w:t>
            </w:r>
          </w:p>
        </w:tc>
      </w:tr>
      <w:tr w:rsidR="00553574" w:rsidRPr="00553574" w14:paraId="34AA1F08" w14:textId="77777777" w:rsidTr="00553574">
        <w:trPr>
          <w:trHeight w:val="1433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509941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sinh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sau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bỏ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trốn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</w:t>
            </w:r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140EEF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8DA2C4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tính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chi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chịu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TNDN.</w:t>
            </w:r>
          </w:p>
        </w:tc>
      </w:tr>
      <w:tr w:rsidR="00553574" w:rsidRPr="00553574" w14:paraId="2040C297" w14:textId="77777777" w:rsidTr="00553574">
        <w:trPr>
          <w:trHeight w:val="2389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7549F9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lastRenderedPageBreak/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chưa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GTGT:</w:t>
            </w:r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3CE05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bằng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văn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bản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kịp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thời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soát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đúng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235356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– 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tạm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dừng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đối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với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hiệu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vi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phạm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  <w:t xml:space="preserve">– 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chờ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kết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quả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chính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thức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thẩm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quyền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  <w:t xml:space="preserve">– 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chỉ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đối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với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hiệu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vi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phạm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</w:tr>
      <w:tr w:rsidR="00553574" w:rsidRPr="00553574" w14:paraId="41CEC535" w14:textId="77777777" w:rsidTr="00553574">
        <w:trPr>
          <w:trHeight w:val="1194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75E51C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đã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GTGT:</w:t>
            </w:r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E3543E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bằng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văn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bản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kịp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thời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soát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đúng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2385BE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điều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chỉnh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giảm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đã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</w:tr>
      <w:tr w:rsidR="00553574" w:rsidRPr="00553574" w14:paraId="25AC6054" w14:textId="77777777" w:rsidTr="00553574">
        <w:trPr>
          <w:trHeight w:val="2150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704D68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khẳng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việc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dụng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đúng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</w:t>
            </w:r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566FBD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thực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kiểm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tại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kết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lý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vi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phạm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theo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098126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DN cam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kết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chịu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trách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nhiệm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trước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</w:tr>
      <w:tr w:rsidR="00553574" w:rsidRPr="00553574" w14:paraId="3F92BE72" w14:textId="77777777" w:rsidTr="00553574">
        <w:trPr>
          <w:trHeight w:val="1911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841F7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rủi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cao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về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chứng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minh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việc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đúng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</w:t>
            </w:r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079D90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346851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trị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tăng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đầu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theo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tính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chi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chịu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</w:tr>
      <w:tr w:rsidR="00553574" w:rsidRPr="00553574" w14:paraId="63DEE860" w14:textId="77777777" w:rsidTr="00553574">
        <w:trPr>
          <w:trHeight w:val="1911"/>
        </w:trPr>
        <w:tc>
          <w:tcPr>
            <w:tcW w:w="22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A0FF24" w14:textId="77777777" w:rsidR="00553574" w:rsidRPr="00553574" w:rsidRDefault="00553574" w:rsidP="00553574">
            <w:pPr>
              <w:spacing w:after="315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Trường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hợp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rủi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ro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cao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về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chứng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minh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việc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thật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</w:t>
            </w:r>
          </w:p>
        </w:tc>
        <w:tc>
          <w:tcPr>
            <w:tcW w:w="39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68FF36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xem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xét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ra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kết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luận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xem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đây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phải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vi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khống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hóa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hay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quyết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phạt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tương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ứng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  <w:tc>
          <w:tcPr>
            <w:tcW w:w="36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13B3A0" w14:textId="77777777" w:rsidR="00553574" w:rsidRPr="00553574" w:rsidRDefault="00553574" w:rsidP="00553574">
            <w:pPr>
              <w:spacing w:after="315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DN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kê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điều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chỉnh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giảm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GTGT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đã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khấu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tính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vào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chi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phí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trừ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khi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xác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định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thuế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thu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doanh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nghiệp</w:t>
            </w:r>
            <w:proofErr w:type="spellEnd"/>
            <w:r w:rsidRPr="0055357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</w:tr>
    </w:tbl>
    <w:p w14:paraId="79859040" w14:textId="77777777" w:rsidR="00553574" w:rsidRPr="00553574" w:rsidRDefault="00553574" w:rsidP="0055357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2B73589" w14:textId="3897136F" w:rsidR="00553574" w:rsidRDefault="00553574" w:rsidP="00553574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GV</w:t>
      </w:r>
      <w:r>
        <w:rPr>
          <w:rFonts w:ascii="Times New Roman" w:hAnsi="Times New Roman" w:cs="Times New Roman"/>
          <w:sz w:val="26"/>
          <w:szCs w:val="26"/>
          <w:lang w:val="vi-VN"/>
        </w:rPr>
        <w:t>: Nguyễn Thị Đoan Trang</w:t>
      </w:r>
    </w:p>
    <w:p w14:paraId="2FF4D5B3" w14:textId="2FB3751C" w:rsidR="00553574" w:rsidRDefault="00553574" w:rsidP="00553574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Tài liệu tham khảo:</w:t>
      </w:r>
    </w:p>
    <w:p w14:paraId="12A07F74" w14:textId="77777777" w:rsidR="00553574" w:rsidRDefault="00553574" w:rsidP="00553574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16D1627E" w14:textId="3F4A6539" w:rsidR="00553574" w:rsidRPr="00553574" w:rsidRDefault="00553574" w:rsidP="00553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hyperlink r:id="rId5" w:history="1">
        <w:r w:rsidRPr="00553574">
          <w:rPr>
            <w:rStyle w:val="Hyperlink"/>
            <w:rFonts w:ascii="Times New Roman" w:hAnsi="Times New Roman" w:cs="Times New Roman"/>
            <w:b/>
            <w:bCs/>
            <w:i/>
            <w:iCs/>
            <w:sz w:val="26"/>
            <w:szCs w:val="26"/>
            <w:lang w:val="vi-VN"/>
          </w:rPr>
          <w:t>https://www.meinvoice.vn</w:t>
        </w:r>
      </w:hyperlink>
    </w:p>
    <w:p w14:paraId="64382548" w14:textId="6AD4FA5B" w:rsidR="00553574" w:rsidRPr="00553574" w:rsidRDefault="00553574" w:rsidP="00553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Thông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tư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31/2021/TT-BTC</w:t>
      </w:r>
    </w:p>
    <w:p w14:paraId="07956262" w14:textId="08EBFDAE" w:rsidR="00553574" w:rsidRPr="00553574" w:rsidRDefault="00553574" w:rsidP="00553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Công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văn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11797/BTC-TCT </w:t>
      </w:r>
      <w:proofErr w:type="spellStart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năm</w:t>
      </w:r>
      <w:proofErr w:type="spellEnd"/>
      <w:r w:rsidRPr="0055357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2014</w:t>
      </w:r>
    </w:p>
    <w:sectPr w:rsidR="00553574" w:rsidRPr="00553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0F6"/>
    <w:multiLevelType w:val="hybridMultilevel"/>
    <w:tmpl w:val="786A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74"/>
    <w:rsid w:val="00050DD1"/>
    <w:rsid w:val="0055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2871E8"/>
  <w15:chartTrackingRefBased/>
  <w15:docId w15:val="{D6BB989F-E168-F447-8414-2A854835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35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5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553574"/>
  </w:style>
  <w:style w:type="paragraph" w:styleId="NormalWeb">
    <w:name w:val="Normal (Web)"/>
    <w:basedOn w:val="Normal"/>
    <w:uiPriority w:val="99"/>
    <w:semiHidden/>
    <w:unhideWhenUsed/>
    <w:rsid w:val="005535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53574"/>
    <w:rPr>
      <w:b/>
      <w:bCs/>
    </w:rPr>
  </w:style>
  <w:style w:type="paragraph" w:styleId="ListParagraph">
    <w:name w:val="List Paragraph"/>
    <w:basedOn w:val="Normal"/>
    <w:uiPriority w:val="34"/>
    <w:qFormat/>
    <w:rsid w:val="005535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377">
          <w:blockQuote w:val="1"/>
          <w:marLeft w:val="300"/>
          <w:marRight w:val="30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invoice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2023-09-14T10:03:00Z</dcterms:created>
  <dcterms:modified xsi:type="dcterms:W3CDTF">2023-09-14T10:09:00Z</dcterms:modified>
</cp:coreProperties>
</file>