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BD4EE" w14:textId="77777777" w:rsidR="004C4F62" w:rsidRPr="00C03E70" w:rsidRDefault="004C4F62" w:rsidP="00A52E56">
      <w:pPr>
        <w:spacing w:after="0" w:line="312" w:lineRule="auto"/>
        <w:rPr>
          <w:b/>
          <w:bCs/>
          <w:sz w:val="42"/>
          <w:szCs w:val="36"/>
        </w:rPr>
      </w:pPr>
      <w:r w:rsidRPr="00C03E70">
        <w:rPr>
          <w:b/>
          <w:bCs/>
          <w:sz w:val="42"/>
          <w:szCs w:val="36"/>
        </w:rPr>
        <w:t>Cách tính thuế dành cho Hộ kinh doanh cá thể</w:t>
      </w:r>
    </w:p>
    <w:p w14:paraId="59547318" w14:textId="219892DE" w:rsidR="004C4F62" w:rsidRPr="00C03E70" w:rsidRDefault="00C03E70" w:rsidP="00A52E56">
      <w:pPr>
        <w:spacing w:after="0" w:line="312" w:lineRule="auto"/>
        <w:ind w:firstLine="720"/>
      </w:pPr>
      <w:r w:rsidRPr="00C03E70">
        <w:t xml:space="preserve">Qua các  bài viết trước đó về Hộ kinh doanh cá thể: giới thiệu về hộ kinh doanh cá thể và những chú ý khi đăng ký kinh doanh Hộ kinh doanh cá thể, bài viết này </w:t>
      </w:r>
      <w:r w:rsidR="00A52E56" w:rsidRPr="00A52E56">
        <w:t>tác giả</w:t>
      </w:r>
      <w:r w:rsidRPr="00C03E70">
        <w:t xml:space="preserve"> cung cấp nội dung khá qua trọng đối với DN là Hộ kinh doanh cá thể là cách tính thuế d</w:t>
      </w:r>
      <w:r w:rsidR="00A52E56" w:rsidRPr="00A52E56">
        <w:t>à</w:t>
      </w:r>
      <w:r w:rsidRPr="00C03E70">
        <w:t>nh cho đối tượng này.</w:t>
      </w:r>
    </w:p>
    <w:p w14:paraId="7EFB1C37" w14:textId="54688548" w:rsidR="00A52E56" w:rsidRPr="00C03E70" w:rsidRDefault="00C03E70" w:rsidP="00A52E56">
      <w:pPr>
        <w:spacing w:after="0" w:line="312" w:lineRule="auto"/>
        <w:ind w:firstLine="360"/>
      </w:pPr>
      <w:r w:rsidRPr="00C03E70">
        <w:rPr>
          <w:b/>
          <w:bCs/>
        </w:rPr>
        <w:t xml:space="preserve">Với </w:t>
      </w:r>
      <w:r w:rsidR="004C4F62" w:rsidRPr="00C03E70">
        <w:rPr>
          <w:b/>
          <w:bCs/>
        </w:rPr>
        <w:t>Đặc điểm hộ kinh doanh cá thể</w:t>
      </w:r>
      <w:r w:rsidRPr="00C03E70">
        <w:rPr>
          <w:b/>
          <w:bCs/>
        </w:rPr>
        <w:t xml:space="preserve">, </w:t>
      </w:r>
      <w:r w:rsidR="00A52E56" w:rsidRPr="00A52E56">
        <w:t>c</w:t>
      </w:r>
      <w:r w:rsidR="00A52E56" w:rsidRPr="00C03E70">
        <w:t>ác loại thuế hộ kinh doanh cá thể phải nộp, gồm 3 loại thuế chính:</w:t>
      </w:r>
    </w:p>
    <w:p w14:paraId="0276786C" w14:textId="77777777" w:rsidR="00A52E56" w:rsidRPr="00C03E70" w:rsidRDefault="00A52E56" w:rsidP="00A52E56">
      <w:pPr>
        <w:pStyle w:val="ListParagraph"/>
        <w:numPr>
          <w:ilvl w:val="0"/>
          <w:numId w:val="11"/>
        </w:numPr>
        <w:spacing w:after="0" w:line="312" w:lineRule="auto"/>
      </w:pPr>
      <w:r w:rsidRPr="00C03E70">
        <w:t>Thuế môn bài</w:t>
      </w:r>
    </w:p>
    <w:p w14:paraId="15F68641" w14:textId="77777777" w:rsidR="00A52E56" w:rsidRPr="00C03E70" w:rsidRDefault="00A52E56" w:rsidP="00A52E56">
      <w:pPr>
        <w:pStyle w:val="ListParagraph"/>
        <w:numPr>
          <w:ilvl w:val="0"/>
          <w:numId w:val="11"/>
        </w:numPr>
        <w:spacing w:after="0" w:line="312" w:lineRule="auto"/>
      </w:pPr>
      <w:r w:rsidRPr="00C03E70">
        <w:t>Thuế giá trị gia tăng</w:t>
      </w:r>
    </w:p>
    <w:p w14:paraId="2D8915E0" w14:textId="77777777" w:rsidR="00A52E56" w:rsidRPr="00C03E70" w:rsidRDefault="00A52E56" w:rsidP="00A52E56">
      <w:pPr>
        <w:pStyle w:val="ListParagraph"/>
        <w:numPr>
          <w:ilvl w:val="0"/>
          <w:numId w:val="11"/>
        </w:numPr>
        <w:spacing w:after="0" w:line="312" w:lineRule="auto"/>
      </w:pPr>
      <w:r w:rsidRPr="00C03E70">
        <w:t>Thuế thu nhập cá nhân.</w:t>
      </w:r>
    </w:p>
    <w:p w14:paraId="7F190DEF" w14:textId="77777777" w:rsidR="00A52E56" w:rsidRPr="00C03E70" w:rsidRDefault="00A52E56" w:rsidP="00A52E56">
      <w:pPr>
        <w:pStyle w:val="ListParagraph"/>
        <w:numPr>
          <w:ilvl w:val="0"/>
          <w:numId w:val="11"/>
        </w:numPr>
        <w:spacing w:after="0" w:line="312" w:lineRule="auto"/>
      </w:pPr>
      <w:r w:rsidRPr="00C03E70">
        <w:t>Thuế môn bài</w:t>
      </w:r>
    </w:p>
    <w:p w14:paraId="60A4E4AE" w14:textId="79B2CA6C" w:rsidR="004C4F62" w:rsidRPr="00C03E70" w:rsidRDefault="00A52E56" w:rsidP="00A52E56">
      <w:pPr>
        <w:spacing w:after="0" w:line="312" w:lineRule="auto"/>
        <w:ind w:firstLine="720"/>
      </w:pPr>
      <w:r w:rsidRPr="00A52E56">
        <w:t>K</w:t>
      </w:r>
      <w:r w:rsidR="004C4F62" w:rsidRPr="00A52E56">
        <w:t>h</w:t>
      </w:r>
      <w:r w:rsidR="004C4F62" w:rsidRPr="00C03E70">
        <w:t>i thành lập hộ kinh doanh cá thể, chủ hộ cần nắm rõ một số thông tin về thuế như sau:</w:t>
      </w:r>
      <w:r w:rsidRPr="00A52E56">
        <w:t xml:space="preserve"> </w:t>
      </w:r>
      <w:r w:rsidR="004C4F62" w:rsidRPr="00C03E70">
        <w:t>Thu nhập chịu thuế từ việc kinh doanh của hộ kinh doanh cá thể được xác định bằng doanh thu trừ đi các khoản chi phí hợp lý. Các chi phí hợp lý đó là: tiền lương, tiền công hoặc các chi phí khác trả cho người lao động; chi phí nguyên vật liệu, hàng hóa sử dụng vào sản xuất kinh doanh; chi phí khấu hao máy móc sử dụng vào sản xuất kinh doanh; chi phí quản lý, chi phí lãi vay, các khoản thuế, phí và lệ phí phải nộp vào ngân sách nhà nước.</w:t>
      </w:r>
    </w:p>
    <w:p w14:paraId="30E5C8B2" w14:textId="77777777" w:rsidR="004C4F62" w:rsidRPr="00C03E70" w:rsidRDefault="004C4F62" w:rsidP="00A52E56">
      <w:pPr>
        <w:spacing w:after="0" w:line="312" w:lineRule="auto"/>
        <w:ind w:firstLine="720"/>
      </w:pPr>
      <w:r w:rsidRPr="00C03E70">
        <w:t>Do vậy, việc xác định doanh thu, chi phí cần dựa trên cơ sở định mức, chế độ, chứng từ, sổ sách theo quy định của pháp luật.</w:t>
      </w:r>
    </w:p>
    <w:p w14:paraId="546F5279" w14:textId="6C64497F" w:rsidR="004C4F62" w:rsidRPr="00C03E70" w:rsidRDefault="004C4F62" w:rsidP="00A52E56">
      <w:pPr>
        <w:spacing w:after="0" w:line="312" w:lineRule="auto"/>
      </w:pPr>
      <w:r w:rsidRPr="00C03E70">
        <w:t>Thuế môn bài có 4 bậc thể hiện cụ thể như sau:</w:t>
      </w:r>
    </w:p>
    <w:tbl>
      <w:tblPr>
        <w:tblW w:w="8362" w:type="dxa"/>
        <w:tblBorders>
          <w:top w:val="single" w:sz="6" w:space="0" w:color="778484"/>
          <w:left w:val="single" w:sz="6" w:space="0" w:color="778484"/>
          <w:bottom w:val="single" w:sz="6" w:space="0" w:color="778484"/>
          <w:right w:val="single" w:sz="6" w:space="0" w:color="778484"/>
        </w:tblBorders>
        <w:shd w:val="clear" w:color="auto" w:fill="FFFFFF"/>
        <w:tblCellMar>
          <w:left w:w="0" w:type="dxa"/>
          <w:right w:w="0" w:type="dxa"/>
        </w:tblCellMar>
        <w:tblLook w:val="04A0" w:firstRow="1" w:lastRow="0" w:firstColumn="1" w:lastColumn="0" w:noHBand="0" w:noVBand="1"/>
      </w:tblPr>
      <w:tblGrid>
        <w:gridCol w:w="892"/>
        <w:gridCol w:w="4346"/>
        <w:gridCol w:w="3124"/>
      </w:tblGrid>
      <w:tr w:rsidR="004C4F62" w:rsidRPr="00C03E70" w14:paraId="46C13FCA" w14:textId="77777777" w:rsidTr="00A52E56">
        <w:tc>
          <w:tcPr>
            <w:tcW w:w="892" w:type="dxa"/>
            <w:tcBorders>
              <w:left w:val="single" w:sz="6" w:space="0" w:color="CCCCCC"/>
            </w:tcBorders>
            <w:shd w:val="clear" w:color="auto" w:fill="FFFFFF"/>
            <w:tcMar>
              <w:top w:w="150" w:type="dxa"/>
              <w:left w:w="150" w:type="dxa"/>
              <w:bottom w:w="150" w:type="dxa"/>
              <w:right w:w="150" w:type="dxa"/>
            </w:tcMar>
            <w:hideMark/>
          </w:tcPr>
          <w:p w14:paraId="4DBBCF80" w14:textId="77777777" w:rsidR="004C4F62" w:rsidRPr="00A52E56" w:rsidRDefault="004C4F62" w:rsidP="00A52E56">
            <w:pPr>
              <w:spacing w:after="0" w:line="312" w:lineRule="auto"/>
              <w:rPr>
                <w:b/>
                <w:bCs/>
              </w:rPr>
            </w:pPr>
            <w:r w:rsidRPr="00A52E56">
              <w:rPr>
                <w:b/>
                <w:bCs/>
              </w:rPr>
              <w:t>STT</w:t>
            </w:r>
          </w:p>
        </w:tc>
        <w:tc>
          <w:tcPr>
            <w:tcW w:w="4346" w:type="dxa"/>
            <w:tcBorders>
              <w:left w:val="single" w:sz="6" w:space="0" w:color="CCCCCC"/>
            </w:tcBorders>
            <w:shd w:val="clear" w:color="auto" w:fill="FFFFFF"/>
            <w:tcMar>
              <w:top w:w="150" w:type="dxa"/>
              <w:left w:w="150" w:type="dxa"/>
              <w:bottom w:w="150" w:type="dxa"/>
              <w:right w:w="150" w:type="dxa"/>
            </w:tcMar>
            <w:hideMark/>
          </w:tcPr>
          <w:p w14:paraId="39143412" w14:textId="77777777" w:rsidR="004C4F62" w:rsidRPr="00A52E56" w:rsidRDefault="004C4F62" w:rsidP="00A52E56">
            <w:pPr>
              <w:spacing w:after="0" w:line="312" w:lineRule="auto"/>
              <w:rPr>
                <w:b/>
                <w:bCs/>
              </w:rPr>
            </w:pPr>
            <w:r w:rsidRPr="00A52E56">
              <w:rPr>
                <w:b/>
                <w:bCs/>
              </w:rPr>
              <w:t>Doanh thu</w:t>
            </w:r>
          </w:p>
        </w:tc>
        <w:tc>
          <w:tcPr>
            <w:tcW w:w="3124" w:type="dxa"/>
            <w:tcBorders>
              <w:left w:val="single" w:sz="6" w:space="0" w:color="CCCCCC"/>
            </w:tcBorders>
            <w:shd w:val="clear" w:color="auto" w:fill="FFFFFF"/>
            <w:tcMar>
              <w:top w:w="150" w:type="dxa"/>
              <w:left w:w="150" w:type="dxa"/>
              <w:bottom w:w="150" w:type="dxa"/>
              <w:right w:w="150" w:type="dxa"/>
            </w:tcMar>
            <w:hideMark/>
          </w:tcPr>
          <w:p w14:paraId="571E76D2" w14:textId="77777777" w:rsidR="004C4F62" w:rsidRPr="00A52E56" w:rsidRDefault="004C4F62" w:rsidP="00A52E56">
            <w:pPr>
              <w:spacing w:after="0" w:line="312" w:lineRule="auto"/>
              <w:rPr>
                <w:b/>
                <w:bCs/>
              </w:rPr>
            </w:pPr>
            <w:r w:rsidRPr="00A52E56">
              <w:rPr>
                <w:b/>
                <w:bCs/>
              </w:rPr>
              <w:t>Mức đóng thuế môn bài</w:t>
            </w:r>
          </w:p>
        </w:tc>
      </w:tr>
      <w:tr w:rsidR="004C4F62" w:rsidRPr="00C03E70" w14:paraId="345F7480" w14:textId="77777777" w:rsidTr="00A52E56">
        <w:tc>
          <w:tcPr>
            <w:tcW w:w="892" w:type="dxa"/>
            <w:tcBorders>
              <w:left w:val="single" w:sz="6" w:space="0" w:color="CCCCCC"/>
            </w:tcBorders>
            <w:shd w:val="clear" w:color="auto" w:fill="FFFFFF"/>
            <w:tcMar>
              <w:top w:w="150" w:type="dxa"/>
              <w:left w:w="150" w:type="dxa"/>
              <w:bottom w:w="150" w:type="dxa"/>
              <w:right w:w="150" w:type="dxa"/>
            </w:tcMar>
            <w:hideMark/>
          </w:tcPr>
          <w:p w14:paraId="7EB8F8A1" w14:textId="77777777" w:rsidR="004C4F62" w:rsidRPr="00C03E70" w:rsidRDefault="004C4F62" w:rsidP="00A52E56">
            <w:pPr>
              <w:spacing w:after="0" w:line="312" w:lineRule="auto"/>
            </w:pPr>
            <w:r w:rsidRPr="00C03E70">
              <w:t>1</w:t>
            </w:r>
          </w:p>
        </w:tc>
        <w:tc>
          <w:tcPr>
            <w:tcW w:w="4346" w:type="dxa"/>
            <w:tcBorders>
              <w:left w:val="single" w:sz="6" w:space="0" w:color="CCCCCC"/>
            </w:tcBorders>
            <w:shd w:val="clear" w:color="auto" w:fill="FFFFFF"/>
            <w:tcMar>
              <w:top w:w="150" w:type="dxa"/>
              <w:left w:w="150" w:type="dxa"/>
              <w:bottom w:w="150" w:type="dxa"/>
              <w:right w:w="150" w:type="dxa"/>
            </w:tcMar>
            <w:hideMark/>
          </w:tcPr>
          <w:p w14:paraId="192726EF" w14:textId="77777777" w:rsidR="004C4F62" w:rsidRPr="00C03E70" w:rsidRDefault="004C4F62" w:rsidP="00A52E56">
            <w:pPr>
              <w:spacing w:after="0" w:line="312" w:lineRule="auto"/>
            </w:pPr>
            <w:r w:rsidRPr="00C03E70">
              <w:t>Doanh thu dưới 100tr/ năm</w:t>
            </w:r>
          </w:p>
        </w:tc>
        <w:tc>
          <w:tcPr>
            <w:tcW w:w="3124" w:type="dxa"/>
            <w:tcBorders>
              <w:left w:val="single" w:sz="6" w:space="0" w:color="CCCCCC"/>
            </w:tcBorders>
            <w:shd w:val="clear" w:color="auto" w:fill="FFFFFF"/>
            <w:tcMar>
              <w:top w:w="150" w:type="dxa"/>
              <w:left w:w="150" w:type="dxa"/>
              <w:bottom w:w="150" w:type="dxa"/>
              <w:right w:w="150" w:type="dxa"/>
            </w:tcMar>
            <w:hideMark/>
          </w:tcPr>
          <w:p w14:paraId="0E0D6EC7" w14:textId="77777777" w:rsidR="004C4F62" w:rsidRPr="00C03E70" w:rsidRDefault="004C4F62" w:rsidP="00A52E56">
            <w:pPr>
              <w:spacing w:after="0" w:line="312" w:lineRule="auto"/>
            </w:pPr>
            <w:r w:rsidRPr="00C03E70">
              <w:t>Miễn thuế</w:t>
            </w:r>
          </w:p>
        </w:tc>
      </w:tr>
      <w:tr w:rsidR="004C4F62" w:rsidRPr="00C03E70" w14:paraId="1D4302BD" w14:textId="77777777" w:rsidTr="00A52E56">
        <w:tc>
          <w:tcPr>
            <w:tcW w:w="892" w:type="dxa"/>
            <w:tcBorders>
              <w:left w:val="single" w:sz="6" w:space="0" w:color="CCCCCC"/>
            </w:tcBorders>
            <w:shd w:val="clear" w:color="auto" w:fill="FFFFFF"/>
            <w:tcMar>
              <w:top w:w="150" w:type="dxa"/>
              <w:left w:w="150" w:type="dxa"/>
              <w:bottom w:w="150" w:type="dxa"/>
              <w:right w:w="150" w:type="dxa"/>
            </w:tcMar>
            <w:hideMark/>
          </w:tcPr>
          <w:p w14:paraId="4D0532C8" w14:textId="77777777" w:rsidR="004C4F62" w:rsidRPr="00C03E70" w:rsidRDefault="004C4F62" w:rsidP="00A52E56">
            <w:pPr>
              <w:spacing w:after="0" w:line="312" w:lineRule="auto"/>
            </w:pPr>
            <w:r w:rsidRPr="00C03E70">
              <w:t>2</w:t>
            </w:r>
          </w:p>
        </w:tc>
        <w:tc>
          <w:tcPr>
            <w:tcW w:w="4346" w:type="dxa"/>
            <w:tcBorders>
              <w:left w:val="single" w:sz="6" w:space="0" w:color="CCCCCC"/>
            </w:tcBorders>
            <w:shd w:val="clear" w:color="auto" w:fill="FFFFFF"/>
            <w:tcMar>
              <w:top w:w="150" w:type="dxa"/>
              <w:left w:w="150" w:type="dxa"/>
              <w:bottom w:w="150" w:type="dxa"/>
              <w:right w:w="150" w:type="dxa"/>
            </w:tcMar>
            <w:hideMark/>
          </w:tcPr>
          <w:p w14:paraId="5B7A0C27" w14:textId="77777777" w:rsidR="004C4F62" w:rsidRPr="00C03E70" w:rsidRDefault="004C4F62" w:rsidP="00A52E56">
            <w:pPr>
              <w:spacing w:after="0" w:line="312" w:lineRule="auto"/>
            </w:pPr>
            <w:r w:rsidRPr="00C03E70">
              <w:t>Doanh thu từ 100tr đến 300tr/năm</w:t>
            </w:r>
          </w:p>
        </w:tc>
        <w:tc>
          <w:tcPr>
            <w:tcW w:w="3124" w:type="dxa"/>
            <w:tcBorders>
              <w:left w:val="single" w:sz="6" w:space="0" w:color="CCCCCC"/>
            </w:tcBorders>
            <w:shd w:val="clear" w:color="auto" w:fill="FFFFFF"/>
            <w:tcMar>
              <w:top w:w="150" w:type="dxa"/>
              <w:left w:w="150" w:type="dxa"/>
              <w:bottom w:w="150" w:type="dxa"/>
              <w:right w:w="150" w:type="dxa"/>
            </w:tcMar>
            <w:hideMark/>
          </w:tcPr>
          <w:p w14:paraId="74312AC7" w14:textId="77777777" w:rsidR="004C4F62" w:rsidRPr="00C03E70" w:rsidRDefault="004C4F62" w:rsidP="00A52E56">
            <w:pPr>
              <w:spacing w:after="0" w:line="312" w:lineRule="auto"/>
            </w:pPr>
            <w:r w:rsidRPr="00C03E70">
              <w:t>300.000 đồng/ năm</w:t>
            </w:r>
          </w:p>
        </w:tc>
      </w:tr>
      <w:tr w:rsidR="004C4F62" w:rsidRPr="00C03E70" w14:paraId="1C686156" w14:textId="77777777" w:rsidTr="00A52E56">
        <w:tc>
          <w:tcPr>
            <w:tcW w:w="892" w:type="dxa"/>
            <w:tcBorders>
              <w:left w:val="single" w:sz="6" w:space="0" w:color="CCCCCC"/>
            </w:tcBorders>
            <w:shd w:val="clear" w:color="auto" w:fill="FFFFFF"/>
            <w:tcMar>
              <w:top w:w="150" w:type="dxa"/>
              <w:left w:w="150" w:type="dxa"/>
              <w:bottom w:w="150" w:type="dxa"/>
              <w:right w:w="150" w:type="dxa"/>
            </w:tcMar>
            <w:hideMark/>
          </w:tcPr>
          <w:p w14:paraId="2ECCDC9C" w14:textId="77777777" w:rsidR="004C4F62" w:rsidRPr="00C03E70" w:rsidRDefault="004C4F62" w:rsidP="00A52E56">
            <w:pPr>
              <w:spacing w:after="0" w:line="312" w:lineRule="auto"/>
            </w:pPr>
            <w:r w:rsidRPr="00C03E70">
              <w:t>3</w:t>
            </w:r>
          </w:p>
        </w:tc>
        <w:tc>
          <w:tcPr>
            <w:tcW w:w="4346" w:type="dxa"/>
            <w:tcBorders>
              <w:left w:val="single" w:sz="6" w:space="0" w:color="CCCCCC"/>
            </w:tcBorders>
            <w:shd w:val="clear" w:color="auto" w:fill="FFFFFF"/>
            <w:tcMar>
              <w:top w:w="150" w:type="dxa"/>
              <w:left w:w="150" w:type="dxa"/>
              <w:bottom w:w="150" w:type="dxa"/>
              <w:right w:w="150" w:type="dxa"/>
            </w:tcMar>
            <w:hideMark/>
          </w:tcPr>
          <w:p w14:paraId="04381F3F" w14:textId="77777777" w:rsidR="004C4F62" w:rsidRPr="00C03E70" w:rsidRDefault="004C4F62" w:rsidP="00A52E56">
            <w:pPr>
              <w:spacing w:after="0" w:line="312" w:lineRule="auto"/>
            </w:pPr>
            <w:r w:rsidRPr="00C03E70">
              <w:t>Doanh thu từ 300tr đến 500tr/năm</w:t>
            </w:r>
          </w:p>
        </w:tc>
        <w:tc>
          <w:tcPr>
            <w:tcW w:w="3124" w:type="dxa"/>
            <w:tcBorders>
              <w:left w:val="single" w:sz="6" w:space="0" w:color="CCCCCC"/>
            </w:tcBorders>
            <w:shd w:val="clear" w:color="auto" w:fill="FFFFFF"/>
            <w:tcMar>
              <w:top w:w="150" w:type="dxa"/>
              <w:left w:w="150" w:type="dxa"/>
              <w:bottom w:w="150" w:type="dxa"/>
              <w:right w:w="150" w:type="dxa"/>
            </w:tcMar>
            <w:hideMark/>
          </w:tcPr>
          <w:p w14:paraId="78136DCE" w14:textId="77777777" w:rsidR="004C4F62" w:rsidRPr="00C03E70" w:rsidRDefault="004C4F62" w:rsidP="00A52E56">
            <w:pPr>
              <w:spacing w:after="0" w:line="312" w:lineRule="auto"/>
            </w:pPr>
            <w:r w:rsidRPr="00C03E70">
              <w:t>500.000 đồng/ năm</w:t>
            </w:r>
          </w:p>
        </w:tc>
      </w:tr>
      <w:tr w:rsidR="004C4F62" w:rsidRPr="00C03E70" w14:paraId="77D12BCC" w14:textId="77777777" w:rsidTr="00A52E56">
        <w:tc>
          <w:tcPr>
            <w:tcW w:w="892" w:type="dxa"/>
            <w:tcBorders>
              <w:left w:val="single" w:sz="6" w:space="0" w:color="CCCCCC"/>
            </w:tcBorders>
            <w:shd w:val="clear" w:color="auto" w:fill="FFFFFF"/>
            <w:tcMar>
              <w:top w:w="150" w:type="dxa"/>
              <w:left w:w="150" w:type="dxa"/>
              <w:bottom w:w="150" w:type="dxa"/>
              <w:right w:w="150" w:type="dxa"/>
            </w:tcMar>
            <w:hideMark/>
          </w:tcPr>
          <w:p w14:paraId="6B6AF07D" w14:textId="77777777" w:rsidR="004C4F62" w:rsidRPr="00C03E70" w:rsidRDefault="004C4F62" w:rsidP="00A52E56">
            <w:pPr>
              <w:spacing w:after="0" w:line="312" w:lineRule="auto"/>
            </w:pPr>
            <w:r w:rsidRPr="00C03E70">
              <w:t>4</w:t>
            </w:r>
          </w:p>
        </w:tc>
        <w:tc>
          <w:tcPr>
            <w:tcW w:w="4346" w:type="dxa"/>
            <w:tcBorders>
              <w:left w:val="single" w:sz="6" w:space="0" w:color="CCCCCC"/>
            </w:tcBorders>
            <w:shd w:val="clear" w:color="auto" w:fill="FFFFFF"/>
            <w:tcMar>
              <w:top w:w="150" w:type="dxa"/>
              <w:left w:w="150" w:type="dxa"/>
              <w:bottom w:w="150" w:type="dxa"/>
              <w:right w:w="150" w:type="dxa"/>
            </w:tcMar>
            <w:hideMark/>
          </w:tcPr>
          <w:p w14:paraId="0098D9DC" w14:textId="77777777" w:rsidR="004C4F62" w:rsidRPr="00C03E70" w:rsidRDefault="004C4F62" w:rsidP="00A52E56">
            <w:pPr>
              <w:spacing w:after="0" w:line="312" w:lineRule="auto"/>
            </w:pPr>
            <w:r w:rsidRPr="00C03E70">
              <w:t>Doanh thu trên 500tr/ năm</w:t>
            </w:r>
          </w:p>
        </w:tc>
        <w:tc>
          <w:tcPr>
            <w:tcW w:w="3124" w:type="dxa"/>
            <w:tcBorders>
              <w:left w:val="single" w:sz="6" w:space="0" w:color="CCCCCC"/>
            </w:tcBorders>
            <w:shd w:val="clear" w:color="auto" w:fill="FFFFFF"/>
            <w:tcMar>
              <w:top w:w="150" w:type="dxa"/>
              <w:left w:w="150" w:type="dxa"/>
              <w:bottom w:w="150" w:type="dxa"/>
              <w:right w:w="150" w:type="dxa"/>
            </w:tcMar>
            <w:hideMark/>
          </w:tcPr>
          <w:p w14:paraId="02EA7683" w14:textId="77777777" w:rsidR="004C4F62" w:rsidRPr="00C03E70" w:rsidRDefault="004C4F62" w:rsidP="00A52E56">
            <w:pPr>
              <w:spacing w:after="0" w:line="312" w:lineRule="auto"/>
            </w:pPr>
            <w:r w:rsidRPr="00C03E70">
              <w:t>1.000.000 đồng/ năm</w:t>
            </w:r>
          </w:p>
        </w:tc>
      </w:tr>
    </w:tbl>
    <w:p w14:paraId="2E8A1CE5" w14:textId="77777777" w:rsidR="004C4F62" w:rsidRPr="00A52E56" w:rsidRDefault="004C4F62" w:rsidP="00A52E56">
      <w:pPr>
        <w:spacing w:after="0" w:line="312" w:lineRule="auto"/>
        <w:rPr>
          <w:b/>
          <w:bCs/>
        </w:rPr>
      </w:pPr>
      <w:r w:rsidRPr="00A52E56">
        <w:rPr>
          <w:b/>
          <w:bCs/>
        </w:rPr>
        <w:t>Một số lưu ý với hộ kinh doanh khi nộp thuế môn bài:</w:t>
      </w:r>
    </w:p>
    <w:p w14:paraId="03833804" w14:textId="02D16462" w:rsidR="004C4F62" w:rsidRPr="00C03E70" w:rsidRDefault="004C4F62" w:rsidP="00A52E56">
      <w:pPr>
        <w:pStyle w:val="ListParagraph"/>
        <w:numPr>
          <w:ilvl w:val="0"/>
          <w:numId w:val="7"/>
        </w:numPr>
        <w:spacing w:after="0" w:line="312" w:lineRule="auto"/>
        <w:contextualSpacing w:val="0"/>
      </w:pPr>
      <w:r w:rsidRPr="00C03E70">
        <w:t>Kinh doanh không thường xuyên, không có địa điểm kinh doanh cố định được miễn thuế môn bài.</w:t>
      </w:r>
    </w:p>
    <w:p w14:paraId="5C08951E" w14:textId="57B29422" w:rsidR="004C4F62" w:rsidRPr="00C03E70" w:rsidRDefault="004C4F62" w:rsidP="00A52E56">
      <w:pPr>
        <w:pStyle w:val="ListParagraph"/>
        <w:numPr>
          <w:ilvl w:val="0"/>
          <w:numId w:val="7"/>
        </w:numPr>
        <w:spacing w:after="0" w:line="312" w:lineRule="auto"/>
        <w:contextualSpacing w:val="0"/>
      </w:pPr>
      <w:r w:rsidRPr="00C03E70">
        <w:t>Hộ kinh doanh sản xuất muối, nuôi trồng và đánh bắt hải sản được miễn thuế môn bài.</w:t>
      </w:r>
    </w:p>
    <w:p w14:paraId="504D8B6B" w14:textId="70878E6F" w:rsidR="004C4F62" w:rsidRPr="00C03E70" w:rsidRDefault="004C4F62" w:rsidP="00A52E56">
      <w:pPr>
        <w:pStyle w:val="ListParagraph"/>
        <w:numPr>
          <w:ilvl w:val="0"/>
          <w:numId w:val="7"/>
        </w:numPr>
        <w:spacing w:after="0" w:line="312" w:lineRule="auto"/>
        <w:contextualSpacing w:val="0"/>
      </w:pPr>
      <w:r w:rsidRPr="00C03E70">
        <w:lastRenderedPageBreak/>
        <w:t>Đối với Hộ kinh doanh thành lập từ ngày 01/01 đến 30/06, yêu cầu nộp 100% mức thuế theo quy định. Trường hợp, hộ kinh doanh thành lập trong khoảng thời gian 01/07 đến 31/12, mức nộp thuế môn bài 50% theo quy định.</w:t>
      </w:r>
    </w:p>
    <w:p w14:paraId="49EA7AD0" w14:textId="39E0FFDE" w:rsidR="004C4F62" w:rsidRPr="00C03E70" w:rsidRDefault="004C4F62" w:rsidP="00A52E56">
      <w:pPr>
        <w:pStyle w:val="ListParagraph"/>
        <w:numPr>
          <w:ilvl w:val="0"/>
          <w:numId w:val="7"/>
        </w:numPr>
        <w:spacing w:after="0" w:line="312" w:lineRule="auto"/>
        <w:contextualSpacing w:val="0"/>
      </w:pPr>
      <w:r w:rsidRPr="00C03E70">
        <w:t>Đối với hộ kinh doanh: khi có sự thay đổi về doanh thu thì việc xác định mức lệ phí môn bài là doanh thu của năm trước liền kề năm tính phí môn bài.</w:t>
      </w:r>
    </w:p>
    <w:p w14:paraId="43764977" w14:textId="3B85B64C" w:rsidR="004C4F62" w:rsidRPr="00C03E70" w:rsidRDefault="004C4F62" w:rsidP="00A52E56">
      <w:pPr>
        <w:pStyle w:val="ListParagraph"/>
        <w:numPr>
          <w:ilvl w:val="0"/>
          <w:numId w:val="7"/>
        </w:numPr>
        <w:spacing w:after="0" w:line="312" w:lineRule="auto"/>
        <w:contextualSpacing w:val="0"/>
      </w:pPr>
      <w:r w:rsidRPr="00C03E70">
        <w:t>Thời hạn nộp lệ phí môn bài chậm nhất là ngày 30 tháng 1 hàng năm.</w:t>
      </w:r>
    </w:p>
    <w:p w14:paraId="2BED3425" w14:textId="488AE4BA" w:rsidR="004C4F62" w:rsidRPr="00C03E70" w:rsidRDefault="004C4F62" w:rsidP="00A52E56">
      <w:pPr>
        <w:pStyle w:val="ListParagraph"/>
        <w:numPr>
          <w:ilvl w:val="0"/>
          <w:numId w:val="7"/>
        </w:numPr>
        <w:spacing w:after="0" w:line="312" w:lineRule="auto"/>
        <w:contextualSpacing w:val="0"/>
      </w:pPr>
      <w:r w:rsidRPr="00C03E70">
        <w:t>Trường hợp hộ kinh doanh mới thành lập nhưng chưa hoạt động sản xuất kinh doanh, thì thời hạn nộp thuế môn bài là 30 ngày kể từ ngày được cấp giấy chứng nhận đăng ký kinh doanh.</w:t>
      </w:r>
    </w:p>
    <w:p w14:paraId="45F64815" w14:textId="77777777" w:rsidR="004C4F62" w:rsidRPr="00A52E56" w:rsidRDefault="004C4F62" w:rsidP="00A52E56">
      <w:pPr>
        <w:spacing w:after="0" w:line="312" w:lineRule="auto"/>
        <w:rPr>
          <w:b/>
          <w:bCs/>
        </w:rPr>
      </w:pPr>
      <w:r w:rsidRPr="00A52E56">
        <w:rPr>
          <w:b/>
          <w:bCs/>
        </w:rPr>
        <w:t>Thuế giá trị gia tăng (GTGT) và thuế thu nhập cá nhân (TNCN)</w:t>
      </w:r>
    </w:p>
    <w:p w14:paraId="143822E6" w14:textId="77777777" w:rsidR="004C4F62" w:rsidRPr="00C03E70" w:rsidRDefault="004C4F62" w:rsidP="00A52E56">
      <w:pPr>
        <w:spacing w:after="0" w:line="312" w:lineRule="auto"/>
        <w:ind w:firstLine="720"/>
      </w:pPr>
      <w:r w:rsidRPr="00C03E70">
        <w:t>Việc tính thuế thực hiện theo khoản 3 Điều 10 Thông tư 40/2021/TT-BTC, cụ thể như sau:</w:t>
      </w:r>
    </w:p>
    <w:p w14:paraId="489FA027" w14:textId="77777777" w:rsidR="004C4F62" w:rsidRPr="00C03E70" w:rsidRDefault="004C4F62" w:rsidP="00A52E56">
      <w:pPr>
        <w:spacing w:after="0" w:line="312" w:lineRule="auto"/>
      </w:pPr>
      <w:r w:rsidRPr="00C03E70">
        <w:t>Số thuế GTGT phải nộp = Tỷ lệ thuế GTGT x Doanh thu tính thuế GTGT</w:t>
      </w:r>
    </w:p>
    <w:p w14:paraId="2ECFE6C3" w14:textId="77777777" w:rsidR="004C4F62" w:rsidRPr="00C03E70" w:rsidRDefault="004C4F62" w:rsidP="00A52E56">
      <w:pPr>
        <w:spacing w:after="0" w:line="312" w:lineRule="auto"/>
      </w:pPr>
      <w:r w:rsidRPr="00C03E70">
        <w:t>Số thuế TNCN phải nộp = Tỷ lệ thuế TNCN x Doanh thu tính thuế TNCN</w:t>
      </w:r>
    </w:p>
    <w:p w14:paraId="78D4A492" w14:textId="77777777" w:rsidR="004C4F62" w:rsidRPr="00C03E70" w:rsidRDefault="004C4F62" w:rsidP="00A52E56">
      <w:pPr>
        <w:spacing w:after="0" w:line="312" w:lineRule="auto"/>
      </w:pPr>
      <w:r w:rsidRPr="00C03E70">
        <w:t>Trong đó:</w:t>
      </w:r>
    </w:p>
    <w:p w14:paraId="10BA7E29" w14:textId="1A528145" w:rsidR="004C4F62" w:rsidRPr="00A52E56" w:rsidRDefault="004C4F62" w:rsidP="00A52E56">
      <w:pPr>
        <w:spacing w:after="0" w:line="312" w:lineRule="auto"/>
      </w:pPr>
      <w:r w:rsidRPr="00C03E70">
        <w:t>Tỷ lệ thuế giá trị gia tăng và tỷ lệ thuế thu nhập cá nhân được xác định theo nhóm ngành nghề như sau</w:t>
      </w:r>
      <w:r w:rsidR="00A52E56" w:rsidRPr="00A52E56">
        <w:t>:</w:t>
      </w:r>
    </w:p>
    <w:p w14:paraId="5D86ADF4" w14:textId="77777777" w:rsidR="004C4F62" w:rsidRPr="00C03E70" w:rsidRDefault="004C4F62" w:rsidP="00A52E56">
      <w:pPr>
        <w:pStyle w:val="ListParagraph"/>
        <w:numPr>
          <w:ilvl w:val="0"/>
          <w:numId w:val="10"/>
        </w:numPr>
        <w:spacing w:after="0" w:line="312" w:lineRule="auto"/>
        <w:contextualSpacing w:val="0"/>
      </w:pPr>
      <w:r w:rsidRPr="00C03E70">
        <w:t>Đối với lĩnh vực phân phối, cung ứng hàng hóa: tỷ lệ thuế GTGT là 1%; tỷ lệ thuế TNCN là 0,5%;</w:t>
      </w:r>
    </w:p>
    <w:p w14:paraId="12CC5949" w14:textId="77777777" w:rsidR="004C4F62" w:rsidRPr="00C03E70" w:rsidRDefault="004C4F62" w:rsidP="00A52E56">
      <w:pPr>
        <w:pStyle w:val="ListParagraph"/>
        <w:numPr>
          <w:ilvl w:val="0"/>
          <w:numId w:val="10"/>
        </w:numPr>
        <w:spacing w:after="0" w:line="312" w:lineRule="auto"/>
        <w:contextualSpacing w:val="0"/>
      </w:pPr>
      <w:r w:rsidRPr="00C03E70">
        <w:t>Đối với lĩnh vực dịch vụ, xây dựng không bao thầu nguyên vật liệu: tỷ lệ thuế GTGT là 5%; tỷ lệ thuế TNCN là 2%;</w:t>
      </w:r>
    </w:p>
    <w:p w14:paraId="448A11B9" w14:textId="77777777" w:rsidR="004C4F62" w:rsidRPr="00C03E70" w:rsidRDefault="004C4F62" w:rsidP="00A52E56">
      <w:pPr>
        <w:pStyle w:val="ListParagraph"/>
        <w:numPr>
          <w:ilvl w:val="0"/>
          <w:numId w:val="10"/>
        </w:numPr>
        <w:spacing w:after="0" w:line="312" w:lineRule="auto"/>
        <w:contextualSpacing w:val="0"/>
      </w:pPr>
      <w:r w:rsidRPr="00C03E70">
        <w:t>Sản xuất, vận tải, dịch vụ có gắn với hàng hóa, xây dựng có bao thầu nguyên vật liệu: tỷ lệ thuế GTGT là 3%; tỷ lệ thuế TNCN là 1,5%;</w:t>
      </w:r>
    </w:p>
    <w:p w14:paraId="7FD6B5A1" w14:textId="77777777" w:rsidR="004C4F62" w:rsidRPr="00C03E70" w:rsidRDefault="004C4F62" w:rsidP="00A52E56">
      <w:pPr>
        <w:pStyle w:val="ListParagraph"/>
        <w:numPr>
          <w:ilvl w:val="0"/>
          <w:numId w:val="10"/>
        </w:numPr>
        <w:spacing w:after="0" w:line="312" w:lineRule="auto"/>
        <w:contextualSpacing w:val="0"/>
      </w:pPr>
      <w:r w:rsidRPr="00C03E70">
        <w:t>Đối với Hoạt động kinh doanh khác: tỷ lệ thuế GTGT là 2%; tỷ lệ thuế TNCN là 1%.</w:t>
      </w:r>
    </w:p>
    <w:p w14:paraId="6B02D001" w14:textId="77777777" w:rsidR="004C4F62" w:rsidRPr="00C03E70" w:rsidRDefault="004C4F62" w:rsidP="00A52E56">
      <w:pPr>
        <w:spacing w:after="0" w:line="312" w:lineRule="auto"/>
      </w:pPr>
      <w:r w:rsidRPr="00C03E70">
        <w:t>Doanh thu tính thuế GTGT là toàn bộ tiền bán hàng, tiền gia công, tiền cung ứng dịch vụ, tiền hoa hồng phát sinh trong kỳ tính thuế từ các hoạt động sản xuất kinh doanh hàng hóa, dịch vụ, bao gồm cả:</w:t>
      </w:r>
    </w:p>
    <w:p w14:paraId="65F2B391" w14:textId="77777777" w:rsidR="004C4F62" w:rsidRPr="00C03E70" w:rsidRDefault="004C4F62" w:rsidP="00A52E56">
      <w:pPr>
        <w:pStyle w:val="ListParagraph"/>
        <w:numPr>
          <w:ilvl w:val="0"/>
          <w:numId w:val="8"/>
        </w:numPr>
        <w:spacing w:after="0" w:line="312" w:lineRule="auto"/>
        <w:contextualSpacing w:val="0"/>
      </w:pPr>
      <w:r w:rsidRPr="00C03E70">
        <w:t>Các khoản thưởng; hỗ trợ đạt doanh số, khuyến mại; chiết khấu thanh toán, chiết khấu thương mại, chi hỗ trợ bằng tiền hoặc không bằng tiền.</w:t>
      </w:r>
    </w:p>
    <w:p w14:paraId="2ADFAF99" w14:textId="77777777" w:rsidR="004C4F62" w:rsidRPr="00C03E70" w:rsidRDefault="004C4F62" w:rsidP="00A52E56">
      <w:pPr>
        <w:pStyle w:val="ListParagraph"/>
        <w:numPr>
          <w:ilvl w:val="0"/>
          <w:numId w:val="8"/>
        </w:numPr>
        <w:spacing w:after="0" w:line="312" w:lineRule="auto"/>
        <w:contextualSpacing w:val="0"/>
      </w:pPr>
      <w:r w:rsidRPr="00C03E70">
        <w:t>Các khoản trợ giá, phụ trội, phụ thu, phí thu thêm được hưởng theo quy định.</w:t>
      </w:r>
    </w:p>
    <w:p w14:paraId="626045F7" w14:textId="77777777" w:rsidR="004C4F62" w:rsidRPr="00C03E70" w:rsidRDefault="004C4F62" w:rsidP="00A52E56">
      <w:pPr>
        <w:pStyle w:val="ListParagraph"/>
        <w:numPr>
          <w:ilvl w:val="0"/>
          <w:numId w:val="8"/>
        </w:numPr>
        <w:spacing w:after="0" w:line="312" w:lineRule="auto"/>
        <w:contextualSpacing w:val="0"/>
      </w:pPr>
      <w:r w:rsidRPr="00C03E70">
        <w:t>Các khoản bồi thường vi phạm hợp đồng, bồi thường khác (chỉ tính vào doanh thu tính thuế thu nhập cá nhân).</w:t>
      </w:r>
    </w:p>
    <w:p w14:paraId="2268F637" w14:textId="77777777" w:rsidR="004C4F62" w:rsidRPr="00C03E70" w:rsidRDefault="004C4F62" w:rsidP="00A52E56">
      <w:pPr>
        <w:pStyle w:val="ListParagraph"/>
        <w:numPr>
          <w:ilvl w:val="0"/>
          <w:numId w:val="8"/>
        </w:numPr>
        <w:spacing w:after="0" w:line="312" w:lineRule="auto"/>
        <w:contextualSpacing w:val="0"/>
      </w:pPr>
      <w:r w:rsidRPr="00C03E70">
        <w:t>Doanh thu khác mà hộ, cá nhân kinh doanh được hưởng.</w:t>
      </w:r>
    </w:p>
    <w:p w14:paraId="2FBA5B85" w14:textId="77777777" w:rsidR="004C4F62" w:rsidRPr="00C03E70" w:rsidRDefault="004C4F62" w:rsidP="00A52E56">
      <w:pPr>
        <w:spacing w:after="0" w:line="312" w:lineRule="auto"/>
      </w:pPr>
      <w:r w:rsidRPr="00C03E70">
        <w:lastRenderedPageBreak/>
        <w:t>Trường hợp cá nhân nộp thuế khoán có sử dụng hóa đơn của cơ quan thuế, thì: Doanh thu tính thuế = Doanh thu khoán + Doanh thu trên hóa đơn</w:t>
      </w:r>
    </w:p>
    <w:p w14:paraId="1B55D85B" w14:textId="77777777" w:rsidR="004C4F62" w:rsidRPr="00C03E70" w:rsidRDefault="004C4F62" w:rsidP="00A52E56">
      <w:pPr>
        <w:spacing w:after="0" w:line="312" w:lineRule="auto"/>
      </w:pPr>
      <w:r w:rsidRPr="00C03E70">
        <w:t>Trường hợp cá nhân nộp thuế khoán không sử dụng hóa đơn của cơ quan thuế, thì: Doanh thu tính thuế = Doanh thu khoán</w:t>
      </w:r>
    </w:p>
    <w:p w14:paraId="4759E922" w14:textId="77777777" w:rsidR="004C4F62" w:rsidRPr="00C03E70" w:rsidRDefault="004C4F62" w:rsidP="00A52E56">
      <w:pPr>
        <w:spacing w:after="0" w:line="312" w:lineRule="auto"/>
      </w:pPr>
      <w:r w:rsidRPr="00C03E70">
        <w:t>Trường hợp cá nhân kinh doanh không xác định được doanh thu tính thuế khoán thì cơ quan thuế có thẩm quyền ấn định doanh thu thuế khoán theo quy định của pháp luật về quản lý thuế.</w:t>
      </w:r>
    </w:p>
    <w:p w14:paraId="5F51A187" w14:textId="77777777" w:rsidR="004C4F62" w:rsidRPr="00A52E56" w:rsidRDefault="004C4F62" w:rsidP="00A52E56">
      <w:pPr>
        <w:spacing w:after="0" w:line="312" w:lineRule="auto"/>
        <w:rPr>
          <w:b/>
          <w:bCs/>
        </w:rPr>
      </w:pPr>
      <w:r w:rsidRPr="00A52E56">
        <w:rPr>
          <w:b/>
          <w:bCs/>
        </w:rPr>
        <w:t>Thời điểm xác định doanh thu tính thuế GTGT</w:t>
      </w:r>
    </w:p>
    <w:p w14:paraId="59AEB2A0" w14:textId="77777777" w:rsidR="004C4F62" w:rsidRPr="00C03E70" w:rsidRDefault="004C4F62" w:rsidP="00A52E56">
      <w:pPr>
        <w:pStyle w:val="ListParagraph"/>
        <w:numPr>
          <w:ilvl w:val="0"/>
          <w:numId w:val="9"/>
        </w:numPr>
        <w:spacing w:after="0" w:line="312" w:lineRule="auto"/>
        <w:contextualSpacing w:val="0"/>
      </w:pPr>
      <w:r w:rsidRPr="00C03E70">
        <w:t>Đối với doanh thu tính thuế khoán thì hộ cá nhân kinh doanh thực hiện xác định doanh thu từ ngày 20/11 đến ngày 15/12 của năm trước năm tính thuế.</w:t>
      </w:r>
    </w:p>
    <w:p w14:paraId="1E078443" w14:textId="77777777" w:rsidR="004C4F62" w:rsidRPr="00C03E70" w:rsidRDefault="004C4F62" w:rsidP="00A52E56">
      <w:pPr>
        <w:pStyle w:val="ListParagraph"/>
        <w:numPr>
          <w:ilvl w:val="0"/>
          <w:numId w:val="9"/>
        </w:numPr>
        <w:spacing w:after="0" w:line="312" w:lineRule="auto"/>
        <w:contextualSpacing w:val="0"/>
      </w:pPr>
      <w:r w:rsidRPr="00C03E70">
        <w:t>Đối với doanh thu theo hóa đơn: là thời điểm xuất giao hàng hóa, hoặc công trình, dịch vụ được nghiệm thu, bàn giao.</w:t>
      </w:r>
    </w:p>
    <w:p w14:paraId="2169B38B" w14:textId="77777777" w:rsidR="004C4F62" w:rsidRPr="00C03E70" w:rsidRDefault="004C4F62" w:rsidP="00A52E56">
      <w:pPr>
        <w:pStyle w:val="ListParagraph"/>
        <w:numPr>
          <w:ilvl w:val="0"/>
          <w:numId w:val="9"/>
        </w:numPr>
        <w:spacing w:after="0" w:line="312" w:lineRule="auto"/>
        <w:contextualSpacing w:val="0"/>
      </w:pPr>
      <w:r w:rsidRPr="00C03E70">
        <w:t>Bên cạnh đó, một số lưu ý với hộ kinh doanh khi nộp thuế GTGT và thuế TNCN:</w:t>
      </w:r>
    </w:p>
    <w:p w14:paraId="6F198D9F" w14:textId="77777777" w:rsidR="004C4F62" w:rsidRPr="00C03E70" w:rsidRDefault="004C4F62" w:rsidP="00A52E56">
      <w:pPr>
        <w:pStyle w:val="ListParagraph"/>
        <w:numPr>
          <w:ilvl w:val="0"/>
          <w:numId w:val="9"/>
        </w:numPr>
        <w:spacing w:after="0" w:line="312" w:lineRule="auto"/>
        <w:contextualSpacing w:val="0"/>
      </w:pPr>
      <w:r w:rsidRPr="00C03E70">
        <w:t>Hộ kinh doanh có doanh thu trong năm dương lịch từ 100 triệu/năm trở xuống thì không phải nộp thuế GTGT và thuế TNCN.</w:t>
      </w:r>
    </w:p>
    <w:p w14:paraId="21109294" w14:textId="7E3EA5B9" w:rsidR="002B3E60" w:rsidRDefault="00A52E56" w:rsidP="00A52E56">
      <w:pPr>
        <w:spacing w:after="0" w:line="312" w:lineRule="auto"/>
        <w:ind w:left="6480"/>
        <w:rPr>
          <w:lang w:val="en-US"/>
        </w:rPr>
      </w:pPr>
      <w:r>
        <w:rPr>
          <w:lang w:val="en-US"/>
        </w:rPr>
        <w:t>Ths. Võ Hồng Hạnh</w:t>
      </w:r>
    </w:p>
    <w:p w14:paraId="4468A35E" w14:textId="31A23076" w:rsidR="00A52E56" w:rsidRDefault="00A52E56" w:rsidP="00A52E56">
      <w:pPr>
        <w:spacing w:after="0" w:line="312" w:lineRule="auto"/>
        <w:rPr>
          <w:lang w:val="en-US"/>
        </w:rPr>
      </w:pPr>
      <w:r>
        <w:rPr>
          <w:lang w:val="en-US"/>
        </w:rPr>
        <w:t>Tài liệu tham khảo:</w:t>
      </w:r>
    </w:p>
    <w:p w14:paraId="3629DEDB" w14:textId="0D9B0C73" w:rsidR="00A52E56" w:rsidRDefault="00A52E56" w:rsidP="00A52E56">
      <w:pPr>
        <w:spacing w:after="0" w:line="312" w:lineRule="auto"/>
        <w:rPr>
          <w:lang w:val="en-US"/>
        </w:rPr>
      </w:pPr>
      <w:r>
        <w:rPr>
          <w:lang w:val="en-US"/>
        </w:rPr>
        <w:t>Luatvietnam.vn</w:t>
      </w:r>
    </w:p>
    <w:p w14:paraId="1039579F" w14:textId="02E318F3" w:rsidR="00A52E56" w:rsidRPr="00A52E56" w:rsidRDefault="00A52E56" w:rsidP="00A52E56">
      <w:pPr>
        <w:spacing w:after="0" w:line="312" w:lineRule="auto"/>
        <w:rPr>
          <w:lang w:val="en-US"/>
        </w:rPr>
      </w:pPr>
      <w:r w:rsidRPr="00C03E70">
        <w:t>Thông tư 40/2021/TT-BTC</w:t>
      </w:r>
    </w:p>
    <w:sectPr w:rsidR="00A52E56" w:rsidRPr="00A52E56" w:rsidSect="00A52E56">
      <w:pgSz w:w="11906" w:h="16838"/>
      <w:pgMar w:top="900" w:right="1106" w:bottom="108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C781B"/>
    <w:multiLevelType w:val="multilevel"/>
    <w:tmpl w:val="F1B65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0A4604"/>
    <w:multiLevelType w:val="hybridMultilevel"/>
    <w:tmpl w:val="A998D8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EB5300"/>
    <w:multiLevelType w:val="multilevel"/>
    <w:tmpl w:val="D8164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5334D3"/>
    <w:multiLevelType w:val="hybridMultilevel"/>
    <w:tmpl w:val="8BC8118A"/>
    <w:lvl w:ilvl="0" w:tplc="5C08179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B83F9E"/>
    <w:multiLevelType w:val="multilevel"/>
    <w:tmpl w:val="9DBE2C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0424B9"/>
    <w:multiLevelType w:val="hybridMultilevel"/>
    <w:tmpl w:val="1A1E4878"/>
    <w:lvl w:ilvl="0" w:tplc="5C08179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D30AB5"/>
    <w:multiLevelType w:val="hybridMultilevel"/>
    <w:tmpl w:val="63C63F22"/>
    <w:lvl w:ilvl="0" w:tplc="5C08179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7946CB"/>
    <w:multiLevelType w:val="multilevel"/>
    <w:tmpl w:val="39C25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F1418C9"/>
    <w:multiLevelType w:val="multilevel"/>
    <w:tmpl w:val="1C36A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4356757"/>
    <w:multiLevelType w:val="multilevel"/>
    <w:tmpl w:val="A40E3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B8E58CA"/>
    <w:multiLevelType w:val="hybridMultilevel"/>
    <w:tmpl w:val="F2705C7A"/>
    <w:lvl w:ilvl="0" w:tplc="5C08179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7351100">
    <w:abstractNumId w:val="7"/>
  </w:num>
  <w:num w:numId="2" w16cid:durableId="1493715984">
    <w:abstractNumId w:val="8"/>
  </w:num>
  <w:num w:numId="3" w16cid:durableId="1432580236">
    <w:abstractNumId w:val="2"/>
  </w:num>
  <w:num w:numId="4" w16cid:durableId="46687610">
    <w:abstractNumId w:val="0"/>
  </w:num>
  <w:num w:numId="5" w16cid:durableId="1377001644">
    <w:abstractNumId w:val="4"/>
  </w:num>
  <w:num w:numId="6" w16cid:durableId="41945605">
    <w:abstractNumId w:val="9"/>
  </w:num>
  <w:num w:numId="7" w16cid:durableId="631322775">
    <w:abstractNumId w:val="6"/>
  </w:num>
  <w:num w:numId="8" w16cid:durableId="137041980">
    <w:abstractNumId w:val="10"/>
  </w:num>
  <w:num w:numId="9" w16cid:durableId="12996190">
    <w:abstractNumId w:val="3"/>
  </w:num>
  <w:num w:numId="10" w16cid:durableId="1832136859">
    <w:abstractNumId w:val="5"/>
  </w:num>
  <w:num w:numId="11" w16cid:durableId="14257591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F62"/>
    <w:rsid w:val="002B3E60"/>
    <w:rsid w:val="004C4F62"/>
    <w:rsid w:val="00A52E56"/>
    <w:rsid w:val="00AB0D16"/>
    <w:rsid w:val="00C03E7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588C2"/>
  <w15:chartTrackingRefBased/>
  <w15:docId w15:val="{40597996-0944-4156-AB31-32506FAF1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vi-VN"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C4F62"/>
    <w:pPr>
      <w:spacing w:before="100" w:beforeAutospacing="1" w:after="100" w:afterAutospacing="1" w:line="240" w:lineRule="auto"/>
      <w:jc w:val="left"/>
      <w:outlineLvl w:val="0"/>
    </w:pPr>
    <w:rPr>
      <w:rFonts w:eastAsia="Times New Roman" w:cs="Times New Roman"/>
      <w:b/>
      <w:bCs/>
      <w:kern w:val="36"/>
      <w:sz w:val="48"/>
      <w:szCs w:val="48"/>
      <w:lang w:eastAsia="vi-VN"/>
    </w:rPr>
  </w:style>
  <w:style w:type="paragraph" w:styleId="Heading3">
    <w:name w:val="heading 3"/>
    <w:basedOn w:val="Normal"/>
    <w:link w:val="Heading3Char"/>
    <w:uiPriority w:val="9"/>
    <w:qFormat/>
    <w:rsid w:val="004C4F62"/>
    <w:pPr>
      <w:spacing w:before="100" w:beforeAutospacing="1" w:after="100" w:afterAutospacing="1" w:line="240" w:lineRule="auto"/>
      <w:jc w:val="left"/>
      <w:outlineLvl w:val="2"/>
    </w:pPr>
    <w:rPr>
      <w:rFonts w:eastAsia="Times New Roman" w:cs="Times New Roman"/>
      <w:b/>
      <w:bCs/>
      <w:sz w:val="27"/>
      <w:szCs w:val="27"/>
      <w:lang w:eastAsia="vi-VN"/>
    </w:rPr>
  </w:style>
  <w:style w:type="paragraph" w:styleId="Heading4">
    <w:name w:val="heading 4"/>
    <w:basedOn w:val="Normal"/>
    <w:link w:val="Heading4Char"/>
    <w:uiPriority w:val="9"/>
    <w:qFormat/>
    <w:rsid w:val="004C4F62"/>
    <w:pPr>
      <w:spacing w:before="100" w:beforeAutospacing="1" w:after="100" w:afterAutospacing="1" w:line="240" w:lineRule="auto"/>
      <w:jc w:val="left"/>
      <w:outlineLvl w:val="3"/>
    </w:pPr>
    <w:rPr>
      <w:rFonts w:eastAsia="Times New Roman" w:cs="Times New Roman"/>
      <w:b/>
      <w:bCs/>
      <w:sz w:val="24"/>
      <w:szCs w:val="24"/>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4F62"/>
    <w:rPr>
      <w:rFonts w:eastAsia="Times New Roman" w:cs="Times New Roman"/>
      <w:b/>
      <w:bCs/>
      <w:kern w:val="36"/>
      <w:sz w:val="48"/>
      <w:szCs w:val="48"/>
      <w:lang w:eastAsia="vi-VN"/>
    </w:rPr>
  </w:style>
  <w:style w:type="character" w:customStyle="1" w:styleId="Heading3Char">
    <w:name w:val="Heading 3 Char"/>
    <w:basedOn w:val="DefaultParagraphFont"/>
    <w:link w:val="Heading3"/>
    <w:uiPriority w:val="9"/>
    <w:rsid w:val="004C4F62"/>
    <w:rPr>
      <w:rFonts w:eastAsia="Times New Roman" w:cs="Times New Roman"/>
      <w:b/>
      <w:bCs/>
      <w:sz w:val="27"/>
      <w:szCs w:val="27"/>
      <w:lang w:eastAsia="vi-VN"/>
    </w:rPr>
  </w:style>
  <w:style w:type="character" w:customStyle="1" w:styleId="Heading4Char">
    <w:name w:val="Heading 4 Char"/>
    <w:basedOn w:val="DefaultParagraphFont"/>
    <w:link w:val="Heading4"/>
    <w:uiPriority w:val="9"/>
    <w:rsid w:val="004C4F62"/>
    <w:rPr>
      <w:rFonts w:eastAsia="Times New Roman" w:cs="Times New Roman"/>
      <w:b/>
      <w:bCs/>
      <w:sz w:val="24"/>
      <w:szCs w:val="24"/>
      <w:lang w:eastAsia="vi-VN"/>
    </w:rPr>
  </w:style>
  <w:style w:type="paragraph" w:styleId="NormalWeb">
    <w:name w:val="Normal (Web)"/>
    <w:basedOn w:val="Normal"/>
    <w:uiPriority w:val="99"/>
    <w:semiHidden/>
    <w:unhideWhenUsed/>
    <w:rsid w:val="004C4F62"/>
    <w:pPr>
      <w:spacing w:before="100" w:beforeAutospacing="1" w:after="100" w:afterAutospacing="1" w:line="240" w:lineRule="auto"/>
      <w:jc w:val="left"/>
    </w:pPr>
    <w:rPr>
      <w:rFonts w:eastAsia="Times New Roman" w:cs="Times New Roman"/>
      <w:sz w:val="24"/>
      <w:szCs w:val="24"/>
      <w:lang w:eastAsia="vi-VN"/>
    </w:rPr>
  </w:style>
  <w:style w:type="character" w:customStyle="1" w:styleId="subtitlenews">
    <w:name w:val="subtitlenews"/>
    <w:basedOn w:val="DefaultParagraphFont"/>
    <w:rsid w:val="004C4F62"/>
  </w:style>
  <w:style w:type="character" w:styleId="Emphasis">
    <w:name w:val="Emphasis"/>
    <w:basedOn w:val="DefaultParagraphFont"/>
    <w:uiPriority w:val="20"/>
    <w:qFormat/>
    <w:rsid w:val="004C4F62"/>
    <w:rPr>
      <w:i/>
      <w:iCs/>
    </w:rPr>
  </w:style>
  <w:style w:type="character" w:styleId="Strong">
    <w:name w:val="Strong"/>
    <w:basedOn w:val="DefaultParagraphFont"/>
    <w:uiPriority w:val="22"/>
    <w:qFormat/>
    <w:rsid w:val="004C4F62"/>
    <w:rPr>
      <w:b/>
      <w:bCs/>
    </w:rPr>
  </w:style>
  <w:style w:type="character" w:customStyle="1" w:styleId="highlight">
    <w:name w:val="highlight"/>
    <w:basedOn w:val="DefaultParagraphFont"/>
    <w:rsid w:val="004C4F62"/>
  </w:style>
  <w:style w:type="character" w:styleId="Hyperlink">
    <w:name w:val="Hyperlink"/>
    <w:basedOn w:val="DefaultParagraphFont"/>
    <w:uiPriority w:val="99"/>
    <w:semiHidden/>
    <w:unhideWhenUsed/>
    <w:rsid w:val="004C4F62"/>
    <w:rPr>
      <w:color w:val="0000FF"/>
      <w:u w:val="single"/>
    </w:rPr>
  </w:style>
  <w:style w:type="paragraph" w:styleId="ListParagraph">
    <w:name w:val="List Paragraph"/>
    <w:basedOn w:val="Normal"/>
    <w:uiPriority w:val="34"/>
    <w:qFormat/>
    <w:rsid w:val="00A52E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5987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698</Words>
  <Characters>3981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Hong Hanh</cp:lastModifiedBy>
  <cp:revision>3</cp:revision>
  <dcterms:created xsi:type="dcterms:W3CDTF">2022-09-10T01:40:00Z</dcterms:created>
  <dcterms:modified xsi:type="dcterms:W3CDTF">2022-12-14T04:18:00Z</dcterms:modified>
</cp:coreProperties>
</file>