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46" w:rsidRPr="004C0346" w:rsidRDefault="004C0346" w:rsidP="004C0346">
      <w:pPr>
        <w:pStyle w:val="Heading1"/>
        <w:shd w:val="clear" w:color="auto" w:fill="FFFFFF"/>
        <w:spacing w:before="0" w:beforeAutospacing="0" w:after="225" w:afterAutospacing="0"/>
        <w:jc w:val="center"/>
        <w:rPr>
          <w:color w:val="000000" w:themeColor="text1"/>
          <w:sz w:val="28"/>
          <w:szCs w:val="28"/>
        </w:rPr>
      </w:pPr>
      <w:r w:rsidRPr="004C0346">
        <w:rPr>
          <w:color w:val="000000" w:themeColor="text1"/>
          <w:sz w:val="28"/>
          <w:szCs w:val="28"/>
        </w:rPr>
        <w:t>NHỮNG THAY ĐỔI MỚI VỀ THUẾ TNCN TRONG NĂM 2023</w:t>
      </w:r>
    </w:p>
    <w:p w:rsidR="004C0346" w:rsidRPr="004C0346" w:rsidRDefault="004C0346" w:rsidP="004C0346">
      <w:pPr>
        <w:pStyle w:val="Heading2"/>
        <w:shd w:val="clear" w:color="auto" w:fill="FFFFFF"/>
        <w:spacing w:before="150" w:beforeAutospacing="0" w:after="30" w:afterAutospacing="0"/>
        <w:jc w:val="both"/>
        <w:rPr>
          <w:b w:val="0"/>
          <w:bCs w:val="0"/>
          <w:color w:val="000000" w:themeColor="text1"/>
          <w:sz w:val="26"/>
          <w:szCs w:val="26"/>
        </w:rPr>
      </w:pPr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Thế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nào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là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thuế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TNCN?</w:t>
      </w:r>
    </w:p>
    <w:p w:rsidR="004C0346" w:rsidRPr="004C0346" w:rsidRDefault="004C0346" w:rsidP="004C034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C0346">
        <w:rPr>
          <w:color w:val="000000" w:themeColor="text1"/>
          <w:sz w:val="26"/>
          <w:szCs w:val="26"/>
        </w:rPr>
        <w:t>thu</w:t>
      </w:r>
      <w:proofErr w:type="spellEnd"/>
      <w:proofErr w:type="gram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nhập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nhân</w:t>
      </w:r>
      <w:proofErr w:type="spellEnd"/>
      <w:r w:rsidRPr="004C0346">
        <w:rPr>
          <w:color w:val="000000" w:themeColor="text1"/>
          <w:sz w:val="26"/>
          <w:szCs w:val="26"/>
        </w:rPr>
        <w:t xml:space="preserve"> (TNCN) </w:t>
      </w:r>
      <w:proofErr w:type="spellStart"/>
      <w:r w:rsidRPr="004C0346">
        <w:rPr>
          <w:color w:val="000000" w:themeColor="text1"/>
          <w:sz w:val="26"/>
          <w:szCs w:val="26"/>
        </w:rPr>
        <w:t>là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loại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trực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được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tính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dựa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trên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nhập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của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người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nộp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đã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trừ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nhập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miễn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và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khoản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giảm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trừ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theo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định</w:t>
      </w:r>
      <w:proofErr w:type="spellEnd"/>
      <w:r w:rsidRPr="004C0346">
        <w:rPr>
          <w:color w:val="000000" w:themeColor="text1"/>
          <w:sz w:val="26"/>
          <w:szCs w:val="26"/>
        </w:rPr>
        <w:t xml:space="preserve">.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TNCN </w:t>
      </w:r>
      <w:proofErr w:type="spellStart"/>
      <w:r w:rsidRPr="004C0346">
        <w:rPr>
          <w:color w:val="000000" w:themeColor="text1"/>
          <w:sz w:val="26"/>
          <w:szCs w:val="26"/>
        </w:rPr>
        <w:t>có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vai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trò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quan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trọng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cụ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thể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như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sau</w:t>
      </w:r>
      <w:proofErr w:type="spellEnd"/>
    </w:p>
    <w:p w:rsidR="004C0346" w:rsidRPr="004C0346" w:rsidRDefault="004C0346" w:rsidP="004C0346">
      <w:pPr>
        <w:numPr>
          <w:ilvl w:val="0"/>
          <w:numId w:val="1"/>
        </w:numPr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proofErr w:type="gram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C0346" w:rsidRPr="004C0346" w:rsidRDefault="004C0346" w:rsidP="004C0346">
      <w:pPr>
        <w:numPr>
          <w:ilvl w:val="0"/>
          <w:numId w:val="1"/>
        </w:numPr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proofErr w:type="gram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khởi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proofErr w:type="gram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càng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họ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càng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Ngược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proofErr w:type="gram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thấp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TNCN.</w:t>
      </w:r>
    </w:p>
    <w:p w:rsidR="004C0346" w:rsidRPr="004C0346" w:rsidRDefault="004C0346" w:rsidP="004C0346">
      <w:pPr>
        <w:numPr>
          <w:ilvl w:val="0"/>
          <w:numId w:val="1"/>
        </w:numPr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proofErr w:type="gram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bất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gây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xấu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đời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C0346" w:rsidRPr="004C0346" w:rsidRDefault="004C0346" w:rsidP="004C0346">
      <w:pPr>
        <w:pStyle w:val="Heading2"/>
        <w:shd w:val="clear" w:color="auto" w:fill="FFFFFF"/>
        <w:spacing w:before="150" w:beforeAutospacing="0" w:after="30" w:afterAutospacing="0"/>
        <w:jc w:val="both"/>
        <w:rPr>
          <w:b w:val="0"/>
          <w:bCs w:val="0"/>
          <w:color w:val="000000" w:themeColor="text1"/>
          <w:sz w:val="26"/>
          <w:szCs w:val="26"/>
        </w:rPr>
      </w:pPr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Đối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tượng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nộp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thuế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TNCN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năm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2023</w:t>
      </w:r>
      <w:bookmarkStart w:id="0" w:name="_GoBack"/>
      <w:bookmarkEnd w:id="0"/>
    </w:p>
    <w:p w:rsidR="004C0346" w:rsidRPr="004C0346" w:rsidRDefault="004C0346" w:rsidP="004C034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4C0346">
        <w:rPr>
          <w:color w:val="000000" w:themeColor="text1"/>
          <w:sz w:val="26"/>
          <w:szCs w:val="26"/>
        </w:rPr>
        <w:t xml:space="preserve">- </w:t>
      </w:r>
      <w:proofErr w:type="spellStart"/>
      <w:r w:rsidRPr="004C0346">
        <w:rPr>
          <w:color w:val="000000" w:themeColor="text1"/>
          <w:sz w:val="26"/>
          <w:szCs w:val="26"/>
        </w:rPr>
        <w:t>Cá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cư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trú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có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C0346">
        <w:rPr>
          <w:color w:val="000000" w:themeColor="text1"/>
          <w:sz w:val="26"/>
          <w:szCs w:val="26"/>
        </w:rPr>
        <w:t>thu</w:t>
      </w:r>
      <w:proofErr w:type="spellEnd"/>
      <w:proofErr w:type="gram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nhập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chịu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phát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sinh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trong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ngoài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lãnh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thổ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Việt</w:t>
      </w:r>
      <w:proofErr w:type="spellEnd"/>
      <w:r w:rsidRPr="004C0346">
        <w:rPr>
          <w:color w:val="000000" w:themeColor="text1"/>
          <w:sz w:val="26"/>
          <w:szCs w:val="26"/>
        </w:rPr>
        <w:t xml:space="preserve"> Nam, </w:t>
      </w:r>
      <w:proofErr w:type="spellStart"/>
      <w:r w:rsidRPr="004C0346">
        <w:rPr>
          <w:color w:val="000000" w:themeColor="text1"/>
          <w:sz w:val="26"/>
          <w:szCs w:val="26"/>
        </w:rPr>
        <w:t>đáp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ứng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một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trong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điều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kiện</w:t>
      </w:r>
      <w:proofErr w:type="spellEnd"/>
      <w:r w:rsidRPr="004C0346">
        <w:rPr>
          <w:color w:val="000000" w:themeColor="text1"/>
          <w:sz w:val="26"/>
          <w:szCs w:val="26"/>
        </w:rPr>
        <w:t>:</w:t>
      </w:r>
    </w:p>
    <w:p w:rsidR="004C0346" w:rsidRPr="004C0346" w:rsidRDefault="004C0346" w:rsidP="004C0346">
      <w:pPr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Nam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183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trở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dương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12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kể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tiên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Nam).</w:t>
      </w:r>
    </w:p>
    <w:p w:rsidR="004C0346" w:rsidRPr="004C0346" w:rsidRDefault="004C0346" w:rsidP="004C0346">
      <w:pPr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nơi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xuyên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Nam: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trú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thuê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Nam (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thuê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4C0346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4C0346" w:rsidRPr="004C0346" w:rsidRDefault="004C0346" w:rsidP="004C034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4C0346">
        <w:rPr>
          <w:color w:val="000000" w:themeColor="text1"/>
          <w:sz w:val="26"/>
          <w:szCs w:val="26"/>
        </w:rPr>
        <w:t xml:space="preserve">- </w:t>
      </w:r>
      <w:proofErr w:type="spellStart"/>
      <w:r w:rsidRPr="004C0346">
        <w:rPr>
          <w:color w:val="000000" w:themeColor="text1"/>
          <w:sz w:val="26"/>
          <w:szCs w:val="26"/>
        </w:rPr>
        <w:t>Cá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cư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trú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có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C0346">
        <w:rPr>
          <w:color w:val="000000" w:themeColor="text1"/>
          <w:sz w:val="26"/>
          <w:szCs w:val="26"/>
        </w:rPr>
        <w:t>thu</w:t>
      </w:r>
      <w:proofErr w:type="spellEnd"/>
      <w:proofErr w:type="gram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nhập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chịu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phát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sinh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tại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Việt</w:t>
      </w:r>
      <w:proofErr w:type="spellEnd"/>
      <w:r w:rsidRPr="004C0346">
        <w:rPr>
          <w:color w:val="000000" w:themeColor="text1"/>
          <w:sz w:val="26"/>
          <w:szCs w:val="26"/>
        </w:rPr>
        <w:t xml:space="preserve"> Nam: </w:t>
      </w:r>
      <w:proofErr w:type="spellStart"/>
      <w:r w:rsidRPr="004C0346">
        <w:rPr>
          <w:color w:val="000000" w:themeColor="text1"/>
          <w:sz w:val="26"/>
          <w:szCs w:val="26"/>
        </w:rPr>
        <w:t>Không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thuộc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trường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hợp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nêu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trên</w:t>
      </w:r>
      <w:proofErr w:type="spellEnd"/>
      <w:r w:rsidRPr="004C0346">
        <w:rPr>
          <w:color w:val="000000" w:themeColor="text1"/>
          <w:sz w:val="26"/>
          <w:szCs w:val="26"/>
        </w:rPr>
        <w:t>.</w:t>
      </w:r>
    </w:p>
    <w:p w:rsidR="004C0346" w:rsidRPr="004C0346" w:rsidRDefault="004C0346" w:rsidP="004C0346">
      <w:pPr>
        <w:pStyle w:val="Heading2"/>
        <w:shd w:val="clear" w:color="auto" w:fill="FFFFFF"/>
        <w:spacing w:before="150" w:beforeAutospacing="0" w:after="30" w:afterAutospacing="0"/>
        <w:jc w:val="both"/>
        <w:rPr>
          <w:b w:val="0"/>
          <w:bCs w:val="0"/>
          <w:color w:val="000000" w:themeColor="text1"/>
          <w:sz w:val="26"/>
          <w:szCs w:val="26"/>
        </w:rPr>
      </w:pPr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3.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N</w:t>
      </w:r>
      <w:r w:rsidRPr="004C0346">
        <w:rPr>
          <w:rStyle w:val="Strong"/>
          <w:b/>
          <w:bCs/>
          <w:color w:val="000000" w:themeColor="text1"/>
          <w:sz w:val="26"/>
          <w:szCs w:val="26"/>
        </w:rPr>
        <w:t>hững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thay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đổi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mới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về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thuế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TNCN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trong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b/>
          <w:bCs/>
          <w:color w:val="000000" w:themeColor="text1"/>
          <w:sz w:val="26"/>
          <w:szCs w:val="26"/>
        </w:rPr>
        <w:t>năm</w:t>
      </w:r>
      <w:proofErr w:type="spellEnd"/>
      <w:r w:rsidRPr="004C0346">
        <w:rPr>
          <w:rStyle w:val="Strong"/>
          <w:b/>
          <w:bCs/>
          <w:color w:val="000000" w:themeColor="text1"/>
          <w:sz w:val="26"/>
          <w:szCs w:val="26"/>
        </w:rPr>
        <w:t xml:space="preserve"> 2023</w:t>
      </w:r>
    </w:p>
    <w:p w:rsidR="004C0346" w:rsidRPr="004C0346" w:rsidRDefault="004C0346" w:rsidP="004C034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4C0346">
        <w:rPr>
          <w:rStyle w:val="Strong"/>
          <w:color w:val="000000" w:themeColor="text1"/>
          <w:sz w:val="26"/>
          <w:szCs w:val="26"/>
        </w:rPr>
        <w:t xml:space="preserve">-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Thay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bản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chụp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Sổ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hộ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khẩu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bằng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một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số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loại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giấy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tờ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khác</w:t>
      </w:r>
      <w:proofErr w:type="spellEnd"/>
    </w:p>
    <w:p w:rsidR="004C0346" w:rsidRPr="004C0346" w:rsidRDefault="004C0346" w:rsidP="004C034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hyperlink r:id="rId6" w:history="1">
        <w:proofErr w:type="spellStart"/>
        <w:r w:rsidRPr="004C0346">
          <w:rPr>
            <w:rStyle w:val="Hyperlink"/>
            <w:b/>
            <w:bCs/>
            <w:color w:val="000000" w:themeColor="text1"/>
            <w:sz w:val="26"/>
            <w:szCs w:val="26"/>
          </w:rPr>
          <w:t>Thông</w:t>
        </w:r>
        <w:proofErr w:type="spellEnd"/>
        <w:r w:rsidRPr="004C0346">
          <w:rPr>
            <w:rStyle w:val="Hyperlink"/>
            <w:b/>
            <w:bCs/>
            <w:color w:val="000000" w:themeColor="text1"/>
            <w:sz w:val="26"/>
            <w:szCs w:val="26"/>
          </w:rPr>
          <w:t xml:space="preserve"> </w:t>
        </w:r>
        <w:proofErr w:type="spellStart"/>
        <w:r w:rsidRPr="004C0346">
          <w:rPr>
            <w:rStyle w:val="Hyperlink"/>
            <w:b/>
            <w:bCs/>
            <w:color w:val="000000" w:themeColor="text1"/>
            <w:sz w:val="26"/>
            <w:szCs w:val="26"/>
          </w:rPr>
          <w:t>tư</w:t>
        </w:r>
        <w:proofErr w:type="spellEnd"/>
        <w:r w:rsidRPr="004C0346">
          <w:rPr>
            <w:rStyle w:val="Hyperlink"/>
            <w:b/>
            <w:bCs/>
            <w:color w:val="000000" w:themeColor="text1"/>
            <w:sz w:val="26"/>
            <w:szCs w:val="26"/>
          </w:rPr>
          <w:t xml:space="preserve"> 79/2022/TT-BTC</w:t>
        </w:r>
      </w:hyperlink>
      <w:r w:rsidRPr="004C0346">
        <w:rPr>
          <w:color w:val="000000" w:themeColor="text1"/>
          <w:sz w:val="26"/>
          <w:szCs w:val="26"/>
        </w:rPr>
        <w:t> </w:t>
      </w:r>
      <w:proofErr w:type="spellStart"/>
      <w:r w:rsidRPr="004C0346">
        <w:rPr>
          <w:color w:val="000000" w:themeColor="text1"/>
          <w:sz w:val="26"/>
          <w:szCs w:val="26"/>
        </w:rPr>
        <w:t>thay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bản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chụp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Sổ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hộ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khẩu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bằng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Giấy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xác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nhận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tin </w:t>
      </w:r>
      <w:proofErr w:type="spellStart"/>
      <w:r w:rsidRPr="004C0346">
        <w:rPr>
          <w:color w:val="000000" w:themeColor="text1"/>
          <w:sz w:val="26"/>
          <w:szCs w:val="26"/>
        </w:rPr>
        <w:t>về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cư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trú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hoặc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báo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số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định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danh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và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tin </w:t>
      </w:r>
      <w:proofErr w:type="spellStart"/>
      <w:r w:rsidRPr="004C0346">
        <w:rPr>
          <w:color w:val="000000" w:themeColor="text1"/>
          <w:sz w:val="26"/>
          <w:szCs w:val="26"/>
        </w:rPr>
        <w:t>trong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sở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dữ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liệu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quốc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gia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về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cư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hoặc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giấy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tờ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khác</w:t>
      </w:r>
      <w:proofErr w:type="spellEnd"/>
      <w:r w:rsidRPr="004C0346">
        <w:rPr>
          <w:color w:val="000000" w:themeColor="text1"/>
          <w:sz w:val="26"/>
          <w:szCs w:val="26"/>
        </w:rPr>
        <w:t xml:space="preserve"> do </w:t>
      </w:r>
      <w:proofErr w:type="spellStart"/>
      <w:r w:rsidRPr="004C0346">
        <w:rPr>
          <w:color w:val="000000" w:themeColor="text1"/>
          <w:sz w:val="26"/>
          <w:szCs w:val="26"/>
        </w:rPr>
        <w:t>cơ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quan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quan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an </w:t>
      </w:r>
      <w:proofErr w:type="spellStart"/>
      <w:r w:rsidRPr="004C0346">
        <w:rPr>
          <w:color w:val="000000" w:themeColor="text1"/>
          <w:sz w:val="26"/>
          <w:szCs w:val="26"/>
        </w:rPr>
        <w:t>cấp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có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thể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chứng</w:t>
      </w:r>
      <w:proofErr w:type="spellEnd"/>
      <w:r w:rsidRPr="004C0346">
        <w:rPr>
          <w:color w:val="000000" w:themeColor="text1"/>
          <w:sz w:val="26"/>
          <w:szCs w:val="26"/>
        </w:rPr>
        <w:t xml:space="preserve"> minh </w:t>
      </w:r>
      <w:proofErr w:type="spellStart"/>
      <w:r w:rsidRPr="004C0346">
        <w:rPr>
          <w:color w:val="000000" w:themeColor="text1"/>
          <w:sz w:val="26"/>
          <w:szCs w:val="26"/>
        </w:rPr>
        <w:t>mối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quan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hệ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vợ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chồng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nếu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người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phụ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thuộc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là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vợ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hoặc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chồng</w:t>
      </w:r>
      <w:proofErr w:type="spellEnd"/>
      <w:r w:rsidRPr="004C0346">
        <w:rPr>
          <w:color w:val="000000" w:themeColor="text1"/>
          <w:sz w:val="26"/>
          <w:szCs w:val="26"/>
        </w:rPr>
        <w:t>.</w:t>
      </w:r>
    </w:p>
    <w:p w:rsidR="004C0346" w:rsidRPr="004C0346" w:rsidRDefault="004C0346" w:rsidP="004C034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proofErr w:type="spellStart"/>
      <w:proofErr w:type="gramStart"/>
      <w:r w:rsidRPr="004C0346">
        <w:rPr>
          <w:color w:val="000000" w:themeColor="text1"/>
          <w:sz w:val="26"/>
          <w:szCs w:val="26"/>
        </w:rPr>
        <w:t>Kể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từ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ngày</w:t>
      </w:r>
      <w:proofErr w:type="spellEnd"/>
      <w:r w:rsidRPr="004C0346">
        <w:rPr>
          <w:color w:val="000000" w:themeColor="text1"/>
          <w:sz w:val="26"/>
          <w:szCs w:val="26"/>
        </w:rPr>
        <w:t xml:space="preserve"> 01/01/2023, </w:t>
      </w:r>
      <w:proofErr w:type="spellStart"/>
      <w:r w:rsidRPr="004C0346">
        <w:rPr>
          <w:color w:val="000000" w:themeColor="text1"/>
          <w:sz w:val="26"/>
          <w:szCs w:val="26"/>
        </w:rPr>
        <w:t>sổ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hộ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khẩu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đã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chính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thức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bị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bãi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bỏ</w:t>
      </w:r>
      <w:proofErr w:type="spellEnd"/>
      <w:r w:rsidRPr="004C0346">
        <w:rPr>
          <w:color w:val="000000" w:themeColor="text1"/>
          <w:sz w:val="26"/>
          <w:szCs w:val="26"/>
        </w:rPr>
        <w:t>.</w:t>
      </w:r>
      <w:proofErr w:type="gram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C0346">
        <w:rPr>
          <w:color w:val="000000" w:themeColor="text1"/>
          <w:sz w:val="26"/>
          <w:szCs w:val="26"/>
        </w:rPr>
        <w:t>Giấy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xác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nhận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tin </w:t>
      </w:r>
      <w:proofErr w:type="spellStart"/>
      <w:r w:rsidRPr="004C0346">
        <w:rPr>
          <w:color w:val="000000" w:themeColor="text1"/>
          <w:sz w:val="26"/>
          <w:szCs w:val="26"/>
        </w:rPr>
        <w:t>về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cư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trú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Thông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báo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số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định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danh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và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tin </w:t>
      </w:r>
      <w:proofErr w:type="spellStart"/>
      <w:r w:rsidRPr="004C0346">
        <w:rPr>
          <w:color w:val="000000" w:themeColor="text1"/>
          <w:sz w:val="26"/>
          <w:szCs w:val="26"/>
        </w:rPr>
        <w:t>trong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sở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dữ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liệu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quốc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gia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về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cư</w:t>
      </w:r>
      <w:proofErr w:type="spellEnd"/>
      <w:r w:rsidRPr="004C0346">
        <w:rPr>
          <w:color w:val="000000" w:themeColor="text1"/>
          <w:sz w:val="26"/>
          <w:szCs w:val="26"/>
        </w:rPr>
        <w:t xml:space="preserve">… </w:t>
      </w:r>
      <w:proofErr w:type="spellStart"/>
      <w:r w:rsidRPr="004C0346">
        <w:rPr>
          <w:color w:val="000000" w:themeColor="text1"/>
          <w:sz w:val="26"/>
          <w:szCs w:val="26"/>
        </w:rPr>
        <w:t>có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giá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trị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chứng</w:t>
      </w:r>
      <w:proofErr w:type="spellEnd"/>
      <w:r w:rsidRPr="004C0346">
        <w:rPr>
          <w:color w:val="000000" w:themeColor="text1"/>
          <w:sz w:val="26"/>
          <w:szCs w:val="26"/>
        </w:rPr>
        <w:t xml:space="preserve"> minh </w:t>
      </w:r>
      <w:proofErr w:type="spellStart"/>
      <w:r w:rsidRPr="004C0346">
        <w:rPr>
          <w:color w:val="000000" w:themeColor="text1"/>
          <w:sz w:val="26"/>
          <w:szCs w:val="26"/>
        </w:rPr>
        <w:t>mối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quan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hệ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thành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viên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trong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gia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đình</w:t>
      </w:r>
      <w:proofErr w:type="spellEnd"/>
      <w:r w:rsidRPr="004C0346">
        <w:rPr>
          <w:color w:val="000000" w:themeColor="text1"/>
          <w:sz w:val="26"/>
          <w:szCs w:val="26"/>
        </w:rPr>
        <w:t>.</w:t>
      </w:r>
      <w:proofErr w:type="gramEnd"/>
    </w:p>
    <w:p w:rsidR="004C0346" w:rsidRPr="004C0346" w:rsidRDefault="004C0346" w:rsidP="004C034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4C0346">
        <w:rPr>
          <w:rStyle w:val="Strong"/>
          <w:color w:val="000000" w:themeColor="text1"/>
          <w:sz w:val="26"/>
          <w:szCs w:val="26"/>
        </w:rPr>
        <w:t xml:space="preserve">-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Có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thể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không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cần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nộp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giấy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tờ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chứng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minh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người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phụ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thuộc</w:t>
      </w:r>
      <w:proofErr w:type="spellEnd"/>
    </w:p>
    <w:p w:rsidR="004C0346" w:rsidRPr="004C0346" w:rsidRDefault="004C0346" w:rsidP="004C034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4C0346">
        <w:rPr>
          <w:color w:val="000000" w:themeColor="text1"/>
          <w:sz w:val="26"/>
          <w:szCs w:val="26"/>
        </w:rPr>
        <w:t>Thông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tư</w:t>
      </w:r>
      <w:proofErr w:type="spellEnd"/>
      <w:r w:rsidRPr="004C0346">
        <w:rPr>
          <w:color w:val="000000" w:themeColor="text1"/>
          <w:sz w:val="26"/>
          <w:szCs w:val="26"/>
        </w:rPr>
        <w:t xml:space="preserve"> 79 </w:t>
      </w:r>
      <w:proofErr w:type="spellStart"/>
      <w:r w:rsidRPr="004C0346">
        <w:rPr>
          <w:color w:val="000000" w:themeColor="text1"/>
          <w:sz w:val="26"/>
          <w:szCs w:val="26"/>
        </w:rPr>
        <w:t>cũng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định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người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nộp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phải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nộp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giấy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tờ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chứng</w:t>
      </w:r>
      <w:proofErr w:type="spellEnd"/>
      <w:r w:rsidRPr="004C0346">
        <w:rPr>
          <w:color w:val="000000" w:themeColor="text1"/>
          <w:sz w:val="26"/>
          <w:szCs w:val="26"/>
        </w:rPr>
        <w:t xml:space="preserve"> minh </w:t>
      </w:r>
      <w:proofErr w:type="spellStart"/>
      <w:r w:rsidRPr="004C0346">
        <w:rPr>
          <w:color w:val="000000" w:themeColor="text1"/>
          <w:sz w:val="26"/>
          <w:szCs w:val="26"/>
        </w:rPr>
        <w:t>người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phụ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thuộc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nếu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tin </w:t>
      </w:r>
      <w:proofErr w:type="spellStart"/>
      <w:r w:rsidRPr="004C0346">
        <w:rPr>
          <w:color w:val="000000" w:themeColor="text1"/>
          <w:sz w:val="26"/>
          <w:szCs w:val="26"/>
        </w:rPr>
        <w:t>trong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những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giấy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tờ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này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đã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có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trong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sở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dữ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liệu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quốc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gia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về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cư</w:t>
      </w:r>
      <w:proofErr w:type="spellEnd"/>
      <w:proofErr w:type="gramStart"/>
      <w:r w:rsidRPr="004C0346">
        <w:rPr>
          <w:color w:val="000000" w:themeColor="text1"/>
          <w:sz w:val="26"/>
          <w:szCs w:val="26"/>
        </w:rPr>
        <w:t xml:space="preserve">  </w:t>
      </w:r>
      <w:proofErr w:type="spellStart"/>
      <w:r w:rsidRPr="004C0346">
        <w:rPr>
          <w:color w:val="000000" w:themeColor="text1"/>
          <w:sz w:val="26"/>
          <w:szCs w:val="26"/>
        </w:rPr>
        <w:t>kể</w:t>
      </w:r>
      <w:proofErr w:type="spellEnd"/>
      <w:proofErr w:type="gram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từ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ngày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quan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báo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hoàn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thành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kết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nối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dữ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liệu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với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sở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dữ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liệu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quốc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gia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về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cư</w:t>
      </w:r>
      <w:proofErr w:type="spellEnd"/>
      <w:r w:rsidRPr="004C0346">
        <w:rPr>
          <w:color w:val="000000" w:themeColor="text1"/>
          <w:sz w:val="26"/>
          <w:szCs w:val="26"/>
        </w:rPr>
        <w:t>.</w:t>
      </w:r>
    </w:p>
    <w:p w:rsidR="004C0346" w:rsidRPr="004C0346" w:rsidRDefault="004C0346" w:rsidP="004C034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proofErr w:type="spellStart"/>
      <w:proofErr w:type="gramStart"/>
      <w:r w:rsidRPr="004C0346">
        <w:rPr>
          <w:color w:val="000000" w:themeColor="text1"/>
          <w:sz w:val="26"/>
          <w:szCs w:val="26"/>
        </w:rPr>
        <w:lastRenderedPageBreak/>
        <w:t>Hiện</w:t>
      </w:r>
      <w:proofErr w:type="spellEnd"/>
      <w:r w:rsidRPr="004C0346">
        <w:rPr>
          <w:color w:val="000000" w:themeColor="text1"/>
          <w:sz w:val="26"/>
          <w:szCs w:val="26"/>
        </w:rPr>
        <w:t xml:space="preserve"> nay, </w:t>
      </w:r>
      <w:proofErr w:type="spellStart"/>
      <w:r w:rsidRPr="004C0346">
        <w:rPr>
          <w:color w:val="000000" w:themeColor="text1"/>
          <w:sz w:val="26"/>
          <w:szCs w:val="26"/>
        </w:rPr>
        <w:t>chưa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có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tin </w:t>
      </w:r>
      <w:proofErr w:type="spellStart"/>
      <w:r w:rsidRPr="004C0346">
        <w:rPr>
          <w:color w:val="000000" w:themeColor="text1"/>
          <w:sz w:val="26"/>
          <w:szCs w:val="26"/>
        </w:rPr>
        <w:t>cụ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thể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về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thời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điểm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quan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hoàn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thành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kết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nối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dữ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liệu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với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sở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dữ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liệu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quốc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gia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về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cư</w:t>
      </w:r>
      <w:proofErr w:type="spellEnd"/>
      <w:r w:rsidRPr="004C0346">
        <w:rPr>
          <w:color w:val="000000" w:themeColor="text1"/>
          <w:sz w:val="26"/>
          <w:szCs w:val="26"/>
        </w:rPr>
        <w:t>.</w:t>
      </w:r>
      <w:proofErr w:type="gramEnd"/>
    </w:p>
    <w:p w:rsidR="004C0346" w:rsidRPr="004C0346" w:rsidRDefault="004C0346" w:rsidP="004C034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4C0346">
        <w:rPr>
          <w:rStyle w:val="Strong"/>
          <w:color w:val="000000" w:themeColor="text1"/>
          <w:sz w:val="26"/>
          <w:szCs w:val="26"/>
        </w:rPr>
        <w:t xml:space="preserve">-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Thêm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một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trường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hợp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không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phải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nộp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hồ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sơ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khai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thuế</w:t>
      </w:r>
      <w:proofErr w:type="spellEnd"/>
    </w:p>
    <w:p w:rsidR="004C0346" w:rsidRPr="004C0346" w:rsidRDefault="004C0346" w:rsidP="004C034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4C0346">
        <w:rPr>
          <w:color w:val="000000" w:themeColor="text1"/>
          <w:sz w:val="26"/>
          <w:szCs w:val="26"/>
        </w:rPr>
        <w:t>Đây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là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nội</w:t>
      </w:r>
      <w:proofErr w:type="spellEnd"/>
      <w:r w:rsidRPr="004C0346">
        <w:rPr>
          <w:color w:val="000000" w:themeColor="text1"/>
          <w:sz w:val="26"/>
          <w:szCs w:val="26"/>
        </w:rPr>
        <w:t xml:space="preserve"> dung </w:t>
      </w:r>
      <w:proofErr w:type="spellStart"/>
      <w:r w:rsidRPr="004C0346">
        <w:rPr>
          <w:color w:val="000000" w:themeColor="text1"/>
          <w:sz w:val="26"/>
          <w:szCs w:val="26"/>
        </w:rPr>
        <w:t>được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định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tại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Nghị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định</w:t>
      </w:r>
      <w:proofErr w:type="spellEnd"/>
      <w:r w:rsidRPr="004C0346">
        <w:rPr>
          <w:color w:val="000000" w:themeColor="text1"/>
          <w:sz w:val="26"/>
          <w:szCs w:val="26"/>
        </w:rPr>
        <w:t xml:space="preserve"> 91/2022/NĐ-CP. Theo </w:t>
      </w:r>
      <w:proofErr w:type="spellStart"/>
      <w:r w:rsidRPr="004C0346">
        <w:rPr>
          <w:color w:val="000000" w:themeColor="text1"/>
          <w:sz w:val="26"/>
          <w:szCs w:val="26"/>
        </w:rPr>
        <w:t>đó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người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khai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TNCN </w:t>
      </w:r>
      <w:proofErr w:type="spellStart"/>
      <w:r w:rsidRPr="004C0346">
        <w:rPr>
          <w:color w:val="000000" w:themeColor="text1"/>
          <w:sz w:val="26"/>
          <w:szCs w:val="26"/>
        </w:rPr>
        <w:t>là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tổ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chức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cá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trả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nhập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thuộc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trường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hợp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khai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TNCN </w:t>
      </w:r>
      <w:proofErr w:type="spellStart"/>
      <w:r w:rsidRPr="004C0346">
        <w:rPr>
          <w:color w:val="000000" w:themeColor="text1"/>
          <w:sz w:val="26"/>
          <w:szCs w:val="26"/>
        </w:rPr>
        <w:t>theo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tháng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quý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mà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trong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tháng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quý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đó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phát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sinh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việc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khấu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trừ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TNCN </w:t>
      </w:r>
      <w:proofErr w:type="spellStart"/>
      <w:r w:rsidRPr="004C0346">
        <w:rPr>
          <w:color w:val="000000" w:themeColor="text1"/>
          <w:sz w:val="26"/>
          <w:szCs w:val="26"/>
        </w:rPr>
        <w:t>thì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cần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phải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nộp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hồ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sơ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khai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>.</w:t>
      </w:r>
    </w:p>
    <w:p w:rsidR="004C0346" w:rsidRPr="004C0346" w:rsidRDefault="004C0346" w:rsidP="004C034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4C0346">
        <w:rPr>
          <w:rStyle w:val="Strong"/>
          <w:color w:val="000000" w:themeColor="text1"/>
          <w:sz w:val="26"/>
          <w:szCs w:val="26"/>
        </w:rPr>
        <w:t xml:space="preserve">-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Áp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dụng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quy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định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khai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thuế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nộp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thuế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thay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cho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người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có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C0346">
        <w:rPr>
          <w:rStyle w:val="Strong"/>
          <w:color w:val="000000" w:themeColor="text1"/>
          <w:sz w:val="26"/>
          <w:szCs w:val="26"/>
        </w:rPr>
        <w:t>thu</w:t>
      </w:r>
      <w:proofErr w:type="spellEnd"/>
      <w:proofErr w:type="gram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nhập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từ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chứng</w:t>
      </w:r>
      <w:proofErr w:type="spellEnd"/>
      <w:r w:rsidRPr="004C0346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rStyle w:val="Strong"/>
          <w:color w:val="000000" w:themeColor="text1"/>
          <w:sz w:val="26"/>
          <w:szCs w:val="26"/>
        </w:rPr>
        <w:t>khoán</w:t>
      </w:r>
      <w:proofErr w:type="spellEnd"/>
    </w:p>
    <w:p w:rsidR="004C0346" w:rsidRPr="004C0346" w:rsidRDefault="004C0346" w:rsidP="004C034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4C0346">
        <w:rPr>
          <w:color w:val="000000" w:themeColor="text1"/>
          <w:sz w:val="26"/>
          <w:szCs w:val="26"/>
        </w:rPr>
        <w:t xml:space="preserve">Theo </w:t>
      </w:r>
      <w:proofErr w:type="spellStart"/>
      <w:r w:rsidRPr="004C0346">
        <w:rPr>
          <w:color w:val="000000" w:themeColor="text1"/>
          <w:sz w:val="26"/>
          <w:szCs w:val="26"/>
        </w:rPr>
        <w:t>Nghị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định</w:t>
      </w:r>
      <w:proofErr w:type="spellEnd"/>
      <w:r w:rsidRPr="004C0346">
        <w:rPr>
          <w:color w:val="000000" w:themeColor="text1"/>
          <w:sz w:val="26"/>
          <w:szCs w:val="26"/>
        </w:rPr>
        <w:t xml:space="preserve"> 91/2022/NĐ-CP, </w:t>
      </w:r>
      <w:proofErr w:type="spellStart"/>
      <w:r w:rsidRPr="004C0346">
        <w:rPr>
          <w:color w:val="000000" w:themeColor="text1"/>
          <w:sz w:val="26"/>
          <w:szCs w:val="26"/>
        </w:rPr>
        <w:t>kể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từ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năm</w:t>
      </w:r>
      <w:proofErr w:type="spellEnd"/>
      <w:r w:rsidRPr="004C0346">
        <w:rPr>
          <w:color w:val="000000" w:themeColor="text1"/>
          <w:sz w:val="26"/>
          <w:szCs w:val="26"/>
        </w:rPr>
        <w:t xml:space="preserve"> 2023 </w:t>
      </w:r>
      <w:proofErr w:type="spellStart"/>
      <w:r w:rsidRPr="004C0346">
        <w:rPr>
          <w:color w:val="000000" w:themeColor="text1"/>
          <w:sz w:val="26"/>
          <w:szCs w:val="26"/>
        </w:rPr>
        <w:t>sẽ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áp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dụng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định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khai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nộp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TNCN </w:t>
      </w:r>
      <w:proofErr w:type="spellStart"/>
      <w:r w:rsidRPr="004C0346">
        <w:rPr>
          <w:color w:val="000000" w:themeColor="text1"/>
          <w:sz w:val="26"/>
          <w:szCs w:val="26"/>
        </w:rPr>
        <w:t>thay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cho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nhận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cổ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tức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bằng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chứng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khoán</w:t>
      </w:r>
      <w:proofErr w:type="spellEnd"/>
      <w:r w:rsidRPr="004C0346">
        <w:rPr>
          <w:color w:val="000000" w:themeColor="text1"/>
          <w:sz w:val="26"/>
          <w:szCs w:val="26"/>
        </w:rPr>
        <w:t xml:space="preserve">; </w:t>
      </w:r>
      <w:proofErr w:type="spellStart"/>
      <w:r w:rsidRPr="004C0346">
        <w:rPr>
          <w:color w:val="000000" w:themeColor="text1"/>
          <w:sz w:val="26"/>
          <w:szCs w:val="26"/>
        </w:rPr>
        <w:t>cá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là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cổ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hiện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hữu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nhận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thưởng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bằng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chứng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khoán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đối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với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nhập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từ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đầu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tư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vốn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đó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chuyển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nhượng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chứng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khoán</w:t>
      </w:r>
      <w:proofErr w:type="spellEnd"/>
      <w:r w:rsidRPr="004C0346">
        <w:rPr>
          <w:color w:val="000000" w:themeColor="text1"/>
          <w:sz w:val="26"/>
          <w:szCs w:val="26"/>
        </w:rPr>
        <w:t>.</w:t>
      </w:r>
    </w:p>
    <w:p w:rsidR="004C0346" w:rsidRPr="004C0346" w:rsidRDefault="004C0346" w:rsidP="004C034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4C0346">
        <w:rPr>
          <w:color w:val="000000" w:themeColor="text1"/>
          <w:sz w:val="26"/>
          <w:szCs w:val="26"/>
        </w:rPr>
        <w:t>Tùy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từng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trường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hợp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tổ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chức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có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trách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nhiệm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khai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và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nộp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thay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sẽ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là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chứng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khoán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ngân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hàng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thương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mại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nơi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mở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tài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khoản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lưu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ký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công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quản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lý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quỹ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nơi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ủy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thác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danh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mục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đầu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tư</w:t>
      </w:r>
      <w:proofErr w:type="spellEnd"/>
      <w:r w:rsidRPr="004C0346">
        <w:rPr>
          <w:color w:val="000000" w:themeColor="text1"/>
          <w:sz w:val="26"/>
          <w:szCs w:val="26"/>
        </w:rPr>
        <w:t>.</w:t>
      </w:r>
    </w:p>
    <w:p w:rsidR="004C0346" w:rsidRPr="004C0346" w:rsidRDefault="004C0346" w:rsidP="004C034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4C0346">
        <w:rPr>
          <w:color w:val="000000" w:themeColor="text1"/>
          <w:sz w:val="26"/>
          <w:szCs w:val="26"/>
        </w:rPr>
        <w:t>Trường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hợp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nhận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cổ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tức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bằng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chứng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khoán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cá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là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cổ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hiện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hữu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nhận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thưởng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bằng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chứng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khoán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ghi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nhận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vào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tài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khoản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chứng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khoán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của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nhà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đầu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tư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từ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trước</w:t>
      </w:r>
      <w:proofErr w:type="spellEnd"/>
      <w:r w:rsidRPr="004C0346">
        <w:rPr>
          <w:color w:val="000000" w:themeColor="text1"/>
          <w:sz w:val="26"/>
          <w:szCs w:val="26"/>
        </w:rPr>
        <w:t xml:space="preserve"> 31/12/2022 </w:t>
      </w:r>
      <w:proofErr w:type="spellStart"/>
      <w:r w:rsidRPr="004C0346">
        <w:rPr>
          <w:color w:val="000000" w:themeColor="text1"/>
          <w:sz w:val="26"/>
          <w:szCs w:val="26"/>
        </w:rPr>
        <w:t>và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chưa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được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chứng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khoán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ngân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hàng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thương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mại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nơi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mở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tài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khoản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lưu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ký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công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quản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lý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quỹ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nơi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cá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nhân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ủy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thác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danh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mục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đầu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tư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tổ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chức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phát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hành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chứng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khoán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khai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nộp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thay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thì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thực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hiện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khai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nộp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thuế</w:t>
      </w:r>
      <w:proofErr w:type="spellEnd"/>
      <w:r w:rsidRPr="004C0346">
        <w:rPr>
          <w:color w:val="000000" w:themeColor="text1"/>
          <w:sz w:val="26"/>
          <w:szCs w:val="26"/>
        </w:rPr>
        <w:t xml:space="preserve"> TNCN </w:t>
      </w:r>
      <w:proofErr w:type="spellStart"/>
      <w:r w:rsidRPr="004C0346">
        <w:rPr>
          <w:color w:val="000000" w:themeColor="text1"/>
          <w:sz w:val="26"/>
          <w:szCs w:val="26"/>
        </w:rPr>
        <w:t>theo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quy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định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của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pháp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luật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và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không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bị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xử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phạt</w:t>
      </w:r>
      <w:proofErr w:type="spellEnd"/>
      <w:r w:rsidRPr="004C0346">
        <w:rPr>
          <w:color w:val="000000" w:themeColor="text1"/>
          <w:sz w:val="26"/>
          <w:szCs w:val="26"/>
        </w:rPr>
        <w:t xml:space="preserve"> vi </w:t>
      </w:r>
      <w:proofErr w:type="spellStart"/>
      <w:r w:rsidRPr="004C0346">
        <w:rPr>
          <w:color w:val="000000" w:themeColor="text1"/>
          <w:sz w:val="26"/>
          <w:szCs w:val="26"/>
        </w:rPr>
        <w:t>phạm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hành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chính</w:t>
      </w:r>
      <w:proofErr w:type="spellEnd"/>
      <w:r w:rsidRPr="004C0346">
        <w:rPr>
          <w:color w:val="000000" w:themeColor="text1"/>
          <w:sz w:val="26"/>
          <w:szCs w:val="26"/>
        </w:rPr>
        <w:t xml:space="preserve">, </w:t>
      </w:r>
      <w:proofErr w:type="spellStart"/>
      <w:r w:rsidRPr="004C0346">
        <w:rPr>
          <w:color w:val="000000" w:themeColor="text1"/>
          <w:sz w:val="26"/>
          <w:szCs w:val="26"/>
        </w:rPr>
        <w:t>không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bị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tính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tiền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chậm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nộp</w:t>
      </w:r>
      <w:proofErr w:type="spellEnd"/>
      <w:r w:rsidRPr="004C0346">
        <w:rPr>
          <w:color w:val="000000" w:themeColor="text1"/>
          <w:sz w:val="26"/>
          <w:szCs w:val="26"/>
        </w:rPr>
        <w:t xml:space="preserve"> (</w:t>
      </w:r>
      <w:proofErr w:type="spellStart"/>
      <w:r w:rsidRPr="004C0346">
        <w:rPr>
          <w:color w:val="000000" w:themeColor="text1"/>
          <w:sz w:val="26"/>
          <w:szCs w:val="26"/>
        </w:rPr>
        <w:t>nếu</w:t>
      </w:r>
      <w:proofErr w:type="spellEnd"/>
      <w:r w:rsidRPr="004C0346">
        <w:rPr>
          <w:color w:val="000000" w:themeColor="text1"/>
          <w:sz w:val="26"/>
          <w:szCs w:val="26"/>
        </w:rPr>
        <w:t xml:space="preserve"> </w:t>
      </w:r>
      <w:proofErr w:type="spellStart"/>
      <w:r w:rsidRPr="004C0346">
        <w:rPr>
          <w:color w:val="000000" w:themeColor="text1"/>
          <w:sz w:val="26"/>
          <w:szCs w:val="26"/>
        </w:rPr>
        <w:t>có</w:t>
      </w:r>
      <w:proofErr w:type="spellEnd"/>
      <w:r w:rsidRPr="004C0346">
        <w:rPr>
          <w:color w:val="000000" w:themeColor="text1"/>
          <w:sz w:val="26"/>
          <w:szCs w:val="26"/>
        </w:rPr>
        <w:t>).</w:t>
      </w:r>
    </w:p>
    <w:p w:rsidR="00CA1CCC" w:rsidRPr="004C0346" w:rsidRDefault="00CA1CCC" w:rsidP="004C0346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CA1CCC" w:rsidRPr="004C0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1969"/>
    <w:multiLevelType w:val="multilevel"/>
    <w:tmpl w:val="0770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044C9"/>
    <w:multiLevelType w:val="multilevel"/>
    <w:tmpl w:val="1BD4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46"/>
    <w:rsid w:val="004C0346"/>
    <w:rsid w:val="00CA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0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C0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C0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3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C03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C03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l-2">
    <w:name w:val="ml-2"/>
    <w:basedOn w:val="DefaultParagraphFont"/>
    <w:rsid w:val="004C0346"/>
  </w:style>
  <w:style w:type="paragraph" w:styleId="NormalWeb">
    <w:name w:val="Normal (Web)"/>
    <w:basedOn w:val="Normal"/>
    <w:uiPriority w:val="99"/>
    <w:semiHidden/>
    <w:unhideWhenUsed/>
    <w:rsid w:val="004C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034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034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C03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0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C0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C0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3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C03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C03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l-2">
    <w:name w:val="ml-2"/>
    <w:basedOn w:val="DefaultParagraphFont"/>
    <w:rsid w:val="004C0346"/>
  </w:style>
  <w:style w:type="paragraph" w:styleId="NormalWeb">
    <w:name w:val="Normal (Web)"/>
    <w:basedOn w:val="Normal"/>
    <w:uiPriority w:val="99"/>
    <w:semiHidden/>
    <w:unhideWhenUsed/>
    <w:rsid w:val="004C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034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034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C03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3268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36" w:space="18" w:color="3EB0EF"/>
                <w:bottom w:val="none" w:sz="0" w:space="0" w:color="auto"/>
                <w:right w:val="none" w:sz="0" w:space="18" w:color="auto"/>
              </w:divBdr>
            </w:div>
            <w:div w:id="593829384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36" w:space="18" w:color="3EB0EF"/>
                <w:bottom w:val="none" w:sz="0" w:space="0" w:color="auto"/>
                <w:right w:val="none" w:sz="0" w:space="18" w:color="auto"/>
              </w:divBdr>
            </w:div>
            <w:div w:id="480004600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36" w:space="18" w:color="3EB0EF"/>
                <w:bottom w:val="none" w:sz="0" w:space="0" w:color="auto"/>
                <w:right w:val="none" w:sz="0" w:space="18" w:color="auto"/>
              </w:divBdr>
            </w:div>
          </w:divsChild>
        </w:div>
      </w:divsChild>
    </w:div>
    <w:div w:id="20104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hoadon.vn/hddt/nhung-thay-doi-moi-ve-thue-tncn.html?lang=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2023-10-15T14:26:00Z</dcterms:created>
  <dcterms:modified xsi:type="dcterms:W3CDTF">2023-10-15T14:33:00Z</dcterms:modified>
</cp:coreProperties>
</file>