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BDDC" w14:textId="6A97C01E" w:rsidR="0060434D" w:rsidRPr="00FB2E3C" w:rsidRDefault="0045652C" w:rsidP="004E1324">
      <w:pPr>
        <w:spacing w:after="0" w:line="360" w:lineRule="auto"/>
        <w:rPr>
          <w:rFonts w:ascii="Times New Roman" w:hAnsi="Times New Roman" w:cs="Times New Roman"/>
          <w:b/>
          <w:bCs/>
          <w:sz w:val="26"/>
          <w:szCs w:val="26"/>
        </w:rPr>
      </w:pPr>
      <w:r w:rsidRPr="001E4599">
        <w:rPr>
          <w:rFonts w:ascii="Times New Roman" w:hAnsi="Times New Roman" w:cs="Times New Roman"/>
          <w:sz w:val="26"/>
          <w:szCs w:val="26"/>
        </w:rPr>
        <w:tab/>
      </w:r>
      <w:r w:rsidRPr="00FB2E3C">
        <w:rPr>
          <w:rFonts w:ascii="Times New Roman" w:hAnsi="Times New Roman" w:cs="Times New Roman"/>
          <w:b/>
          <w:bCs/>
          <w:sz w:val="26"/>
          <w:szCs w:val="26"/>
        </w:rPr>
        <w:t xml:space="preserve">PHƯƠNG PHÁP TÍNH THUẾ THU NHẬP CÁ NHÂN ĐỐI VỚI HỘ KINH </w:t>
      </w:r>
      <w:proofErr w:type="gramStart"/>
      <w:r w:rsidRPr="00FB2E3C">
        <w:rPr>
          <w:rFonts w:ascii="Times New Roman" w:hAnsi="Times New Roman" w:cs="Times New Roman"/>
          <w:b/>
          <w:bCs/>
          <w:sz w:val="26"/>
          <w:szCs w:val="26"/>
        </w:rPr>
        <w:t>DOANH ,</w:t>
      </w:r>
      <w:proofErr w:type="gramEnd"/>
      <w:r w:rsidRPr="00FB2E3C">
        <w:rPr>
          <w:rFonts w:ascii="Times New Roman" w:hAnsi="Times New Roman" w:cs="Times New Roman"/>
          <w:b/>
          <w:bCs/>
          <w:sz w:val="26"/>
          <w:szCs w:val="26"/>
        </w:rPr>
        <w:t xml:space="preserve"> BÁN HÀNG ONLINE</w:t>
      </w:r>
      <w:r w:rsidR="001E4599" w:rsidRPr="00FB2E3C">
        <w:rPr>
          <w:rFonts w:ascii="Times New Roman" w:hAnsi="Times New Roman" w:cs="Times New Roman"/>
          <w:b/>
          <w:bCs/>
          <w:sz w:val="26"/>
          <w:szCs w:val="26"/>
        </w:rPr>
        <w:t>.</w:t>
      </w:r>
    </w:p>
    <w:p w14:paraId="4797251F" w14:textId="5530BE82" w:rsidR="00BC4B9C" w:rsidRPr="001E4599" w:rsidRDefault="00BC4B9C" w:rsidP="001E4599">
      <w:pPr>
        <w:spacing w:after="0" w:line="360" w:lineRule="auto"/>
        <w:ind w:left="2880"/>
        <w:rPr>
          <w:rFonts w:ascii="Times New Roman" w:hAnsi="Times New Roman" w:cs="Times New Roman"/>
          <w:sz w:val="26"/>
          <w:szCs w:val="26"/>
        </w:rPr>
      </w:pPr>
      <w:r w:rsidRPr="001E4599">
        <w:rPr>
          <w:rFonts w:ascii="Times New Roman" w:hAnsi="Times New Roman" w:cs="Times New Roman"/>
          <w:sz w:val="26"/>
          <w:szCs w:val="26"/>
        </w:rPr>
        <w:t>Mai Thị Quỳnh Như – Khoa Kế toán- Đại học Duy Tân.</w:t>
      </w:r>
    </w:p>
    <w:p w14:paraId="332BCEC0" w14:textId="65962C70" w:rsidR="00022D75" w:rsidRPr="001E4599" w:rsidRDefault="00022D75" w:rsidP="001E4599">
      <w:pPr>
        <w:spacing w:after="0" w:line="360" w:lineRule="auto"/>
        <w:ind w:firstLine="720"/>
        <w:rPr>
          <w:rFonts w:ascii="Times New Roman" w:hAnsi="Times New Roman" w:cs="Times New Roman"/>
          <w:b/>
          <w:bCs/>
          <w:sz w:val="26"/>
          <w:szCs w:val="26"/>
        </w:rPr>
      </w:pPr>
      <w:r w:rsidRPr="001E4599">
        <w:rPr>
          <w:rStyle w:val="Strong"/>
          <w:rFonts w:ascii="Times New Roman" w:hAnsi="Times New Roman" w:cs="Times New Roman"/>
          <w:b w:val="0"/>
          <w:bCs w:val="0"/>
          <w:sz w:val="26"/>
          <w:szCs w:val="26"/>
          <w:shd w:val="clear" w:color="auto" w:fill="FFFFFF"/>
        </w:rPr>
        <w:t>Bán hàng online hiện nay</w:t>
      </w:r>
      <w:r w:rsidR="00FB2E3C">
        <w:rPr>
          <w:rStyle w:val="Strong"/>
          <w:rFonts w:ascii="Times New Roman" w:hAnsi="Times New Roman" w:cs="Times New Roman"/>
          <w:b w:val="0"/>
          <w:bCs w:val="0"/>
          <w:sz w:val="26"/>
          <w:szCs w:val="26"/>
          <w:shd w:val="clear" w:color="auto" w:fill="FFFFFF"/>
        </w:rPr>
        <w:t xml:space="preserve"> </w:t>
      </w:r>
      <w:r w:rsidRPr="001E4599">
        <w:rPr>
          <w:rStyle w:val="Strong"/>
          <w:rFonts w:ascii="Times New Roman" w:hAnsi="Times New Roman" w:cs="Times New Roman"/>
          <w:b w:val="0"/>
          <w:bCs w:val="0"/>
          <w:sz w:val="26"/>
          <w:szCs w:val="26"/>
          <w:shd w:val="clear" w:color="auto" w:fill="FFFFFF"/>
        </w:rPr>
        <w:t xml:space="preserve">được thực </w:t>
      </w:r>
      <w:proofErr w:type="gramStart"/>
      <w:r w:rsidRPr="001E4599">
        <w:rPr>
          <w:rStyle w:val="Strong"/>
          <w:rFonts w:ascii="Times New Roman" w:hAnsi="Times New Roman" w:cs="Times New Roman"/>
          <w:b w:val="0"/>
          <w:bCs w:val="0"/>
          <w:sz w:val="26"/>
          <w:szCs w:val="26"/>
          <w:shd w:val="clear" w:color="auto" w:fill="FFFFFF"/>
        </w:rPr>
        <w:t>hiện  rất</w:t>
      </w:r>
      <w:proofErr w:type="gramEnd"/>
      <w:r w:rsidRPr="001E4599">
        <w:rPr>
          <w:rStyle w:val="Strong"/>
          <w:rFonts w:ascii="Times New Roman" w:hAnsi="Times New Roman" w:cs="Times New Roman"/>
          <w:b w:val="0"/>
          <w:bCs w:val="0"/>
          <w:sz w:val="26"/>
          <w:szCs w:val="26"/>
          <w:shd w:val="clear" w:color="auto" w:fill="FFFFFF"/>
        </w:rPr>
        <w:t xml:space="preserve"> phổ biến với nhiều hình thức khác nhau như bán hàng qua mạng xã hội, qua Shopee, Tiki, Lazada. Để thực hiện đúng nghĩa vụ của mình hộ kinh </w:t>
      </w:r>
      <w:proofErr w:type="gramStart"/>
      <w:r w:rsidRPr="001E4599">
        <w:rPr>
          <w:rStyle w:val="Strong"/>
          <w:rFonts w:ascii="Times New Roman" w:hAnsi="Times New Roman" w:cs="Times New Roman"/>
          <w:b w:val="0"/>
          <w:bCs w:val="0"/>
          <w:sz w:val="26"/>
          <w:szCs w:val="26"/>
          <w:shd w:val="clear" w:color="auto" w:fill="FFFFFF"/>
        </w:rPr>
        <w:t>doanh ,</w:t>
      </w:r>
      <w:proofErr w:type="gramEnd"/>
      <w:r w:rsidRPr="001E4599">
        <w:rPr>
          <w:rStyle w:val="Strong"/>
          <w:rFonts w:ascii="Times New Roman" w:hAnsi="Times New Roman" w:cs="Times New Roman"/>
          <w:b w:val="0"/>
          <w:bCs w:val="0"/>
          <w:sz w:val="26"/>
          <w:szCs w:val="26"/>
          <w:shd w:val="clear" w:color="auto" w:fill="FFFFFF"/>
        </w:rPr>
        <w:t xml:space="preserve"> cá nhân kinh doanh cần phải nắm rõ cách tính thuế thu nhập cá nhân khi bán hàng online </w:t>
      </w:r>
      <w:r w:rsidR="00154C82" w:rsidRPr="001E4599">
        <w:rPr>
          <w:rStyle w:val="Strong"/>
          <w:rFonts w:ascii="Times New Roman" w:hAnsi="Times New Roman" w:cs="Times New Roman"/>
          <w:b w:val="0"/>
          <w:bCs w:val="0"/>
          <w:sz w:val="26"/>
          <w:szCs w:val="26"/>
          <w:shd w:val="clear" w:color="auto" w:fill="FFFFFF"/>
        </w:rPr>
        <w:t>.</w:t>
      </w:r>
    </w:p>
    <w:p w14:paraId="25E7DBA3" w14:textId="0E19DA51" w:rsidR="0045652C" w:rsidRPr="00FB2E3C" w:rsidRDefault="0045652C" w:rsidP="004E1324">
      <w:pPr>
        <w:spacing w:after="0" w:line="360" w:lineRule="auto"/>
        <w:rPr>
          <w:rFonts w:ascii="Times New Roman" w:hAnsi="Times New Roman" w:cs="Times New Roman"/>
          <w:b/>
          <w:bCs/>
          <w:sz w:val="26"/>
          <w:szCs w:val="26"/>
        </w:rPr>
      </w:pPr>
      <w:r w:rsidRPr="00FB2E3C">
        <w:rPr>
          <w:rFonts w:ascii="Times New Roman" w:hAnsi="Times New Roman" w:cs="Times New Roman"/>
          <w:b/>
          <w:bCs/>
          <w:sz w:val="26"/>
          <w:szCs w:val="26"/>
        </w:rPr>
        <w:t>1.Đối tượng tính thuế thu nhập cá nhân</w:t>
      </w:r>
      <w:r w:rsidR="00022D75" w:rsidRPr="00FB2E3C">
        <w:rPr>
          <w:rFonts w:ascii="Times New Roman" w:hAnsi="Times New Roman" w:cs="Times New Roman"/>
          <w:b/>
          <w:bCs/>
          <w:sz w:val="26"/>
          <w:szCs w:val="26"/>
        </w:rPr>
        <w:t>:</w:t>
      </w:r>
    </w:p>
    <w:p w14:paraId="34FEA66F"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Căn cứ </w:t>
      </w:r>
      <w:hyperlink r:id="rId5" w:tgtFrame="_blank" w:history="1">
        <w:r w:rsidRPr="00FB2E3C">
          <w:rPr>
            <w:rStyle w:val="Hyperlink"/>
            <w:color w:val="auto"/>
            <w:sz w:val="26"/>
            <w:szCs w:val="26"/>
            <w:u w:val="none"/>
          </w:rPr>
          <w:t>Điều 2 Thông tư 40/2021/TT-BTC</w:t>
        </w:r>
      </w:hyperlink>
      <w:r w:rsidRPr="00FB2E3C">
        <w:rPr>
          <w:sz w:val="26"/>
          <w:szCs w:val="26"/>
        </w:rPr>
        <w:t> quy định đối tượng áp dụng tính </w:t>
      </w:r>
      <w:hyperlink r:id="rId6" w:tgtFrame="_blank" w:history="1">
        <w:r w:rsidRPr="00FB2E3C">
          <w:rPr>
            <w:rStyle w:val="Hyperlink"/>
            <w:color w:val="auto"/>
            <w:sz w:val="26"/>
            <w:szCs w:val="26"/>
            <w:u w:val="none"/>
          </w:rPr>
          <w:t>thuế thu nhập cá nhân</w:t>
        </w:r>
      </w:hyperlink>
      <w:r w:rsidRPr="001E4599">
        <w:rPr>
          <w:sz w:val="26"/>
          <w:szCs w:val="26"/>
        </w:rPr>
        <w:t> như sau:</w:t>
      </w:r>
    </w:p>
    <w:p w14:paraId="2843B7E2"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Hộ kinh doanh, cá nhân kinh doanh là cá nhân cư trú có hoạt động sản xuất, kinh doanh hàng hóa, dịch vụ thuộc tất cả các lĩnh vực, ngành nghề sản xuất, kinh doanh theo quy định của pháp luật, bao gồm cả một số trường hợp sau:</w:t>
      </w:r>
    </w:p>
    <w:p w14:paraId="48F21E7C"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Hành nghề độc lập trong những lĩnh vực, ngành nghề được cấp giấy phép hoặc chứng chỉ hành nghề theo quy định của pháp luật;</w:t>
      </w:r>
    </w:p>
    <w:p w14:paraId="0B885C88"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Hoạt động đại lý bán đúng giá đối với đại lý xổ số, đại lý bảo hiểm, đại lý bán hàng đa cấp của cá nhân trực tiếp ký hợp đồng với doanh nghiệp xổ số, doanh nghiệp bảo hiểm, doanh nghiệp bán hàng đa cấp;</w:t>
      </w:r>
    </w:p>
    <w:p w14:paraId="09528CF3"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Hợp tác kinh doanh với tổ chức;</w:t>
      </w:r>
    </w:p>
    <w:p w14:paraId="3EF5FAF4"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Sản xuất, kinh doanh nông nghiệp, lâm nghiệp, làm muối, nuôi trồng, đánh bắt thủy sản không đáp ứng điều kiện được miễn thuế theo quy định của pháp luật về thuế GTGT, thuế TNCN;</w:t>
      </w:r>
    </w:p>
    <w:p w14:paraId="7DA930B6"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Hoạt động thương mại điện tử, bao gồm cả trường hợp cá nhân có thu nhập từ sản phẩm, dịch vụ nội dung thông tin số theo quy định của pháp luật về thương mại điện tử.</w:t>
      </w:r>
    </w:p>
    <w:p w14:paraId="5EBEC0A8"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Hộ kinh doanh, cá nhân kinh doanh có hoạt động sản xuất, kinh doanh tại chợ biên giới, chợ cửa khẩu, chợ trong khu kinh tế cửa khẩu trên lãnh thổ Việt Nam;</w:t>
      </w:r>
    </w:p>
    <w:p w14:paraId="56F1E7B0"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Cá nhân cho thuê tài sản;</w:t>
      </w:r>
    </w:p>
    <w:p w14:paraId="1952320B"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Cá nhân chuyển nhượng tên miền internet quốc gia Việt Nam “.vn”;</w:t>
      </w:r>
    </w:p>
    <w:p w14:paraId="01568114"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Tổ chức hợp tác kinh doanh với cá nhân;</w:t>
      </w:r>
    </w:p>
    <w:p w14:paraId="6EA28EC4"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lastRenderedPageBreak/>
        <w:t>- Tổ chức, cá nhân khai thuế thay, nộp thuế thay cho cá nhân;</w:t>
      </w:r>
    </w:p>
    <w:p w14:paraId="6D4BDF60"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Doanh nghiệp xổ số, doanh nghiệp bảo hiểm, doanh nghiệp bán hàng đa cấp trả thu nhập cho cá nhân trực tiếp ký hợp đồng đại lý bán đúng giá đối với xổ số, bảo hiểm, bán hàng đa cấp;</w:t>
      </w:r>
    </w:p>
    <w:p w14:paraId="12C55A18" w14:textId="45109C70"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Cơ quan thuế, cơ quan nhà nước, tổ chức, cá nhân khác có liên quan.</w:t>
      </w:r>
    </w:p>
    <w:p w14:paraId="294E5A11" w14:textId="5431F7B8" w:rsidR="00022D75" w:rsidRPr="00FB2E3C" w:rsidRDefault="00022D75" w:rsidP="004E1324">
      <w:pPr>
        <w:pStyle w:val="NormalWeb"/>
        <w:shd w:val="clear" w:color="auto" w:fill="FFFFFF"/>
        <w:spacing w:before="0" w:beforeAutospacing="0" w:after="0" w:afterAutospacing="0" w:line="360" w:lineRule="auto"/>
        <w:jc w:val="both"/>
        <w:rPr>
          <w:b/>
          <w:bCs/>
          <w:sz w:val="26"/>
          <w:szCs w:val="26"/>
        </w:rPr>
      </w:pPr>
      <w:r w:rsidRPr="00FB2E3C">
        <w:rPr>
          <w:b/>
          <w:bCs/>
          <w:sz w:val="26"/>
          <w:szCs w:val="26"/>
        </w:rPr>
        <w:t>2. Mức đóng thuế TNCN.</w:t>
      </w:r>
    </w:p>
    <w:p w14:paraId="742A724C" w14:textId="77777777" w:rsidR="00022D75" w:rsidRPr="00FB2E3C" w:rsidRDefault="00022D75" w:rsidP="004E1324">
      <w:pPr>
        <w:shd w:val="clear" w:color="auto" w:fill="FFFFFF"/>
        <w:spacing w:after="0" w:line="360" w:lineRule="auto"/>
        <w:jc w:val="both"/>
        <w:rPr>
          <w:rFonts w:ascii="Times New Roman" w:eastAsia="Times New Roman" w:hAnsi="Times New Roman" w:cs="Times New Roman"/>
          <w:sz w:val="26"/>
          <w:szCs w:val="26"/>
        </w:rPr>
      </w:pPr>
      <w:r w:rsidRPr="001E4599">
        <w:rPr>
          <w:rFonts w:ascii="Times New Roman" w:eastAsia="Times New Roman" w:hAnsi="Times New Roman" w:cs="Times New Roman"/>
          <w:sz w:val="26"/>
          <w:szCs w:val="26"/>
        </w:rPr>
        <w:t>Căn cứ khoản 2, </w:t>
      </w:r>
      <w:hyperlink r:id="rId7" w:tgtFrame="_blank" w:history="1">
        <w:r w:rsidRPr="00FB2E3C">
          <w:rPr>
            <w:rFonts w:ascii="Times New Roman" w:eastAsia="Times New Roman" w:hAnsi="Times New Roman" w:cs="Times New Roman"/>
            <w:sz w:val="26"/>
            <w:szCs w:val="26"/>
          </w:rPr>
          <w:t>khoản 3 Điều 4 Thông tư 40/2021/TT-BTC</w:t>
        </w:r>
      </w:hyperlink>
      <w:r w:rsidRPr="00FB2E3C">
        <w:rPr>
          <w:rFonts w:ascii="Times New Roman" w:eastAsia="Times New Roman" w:hAnsi="Times New Roman" w:cs="Times New Roman"/>
          <w:sz w:val="26"/>
          <w:szCs w:val="26"/>
        </w:rPr>
        <w:t> quy định về nguyên tắc tính thuế như sau:</w:t>
      </w:r>
    </w:p>
    <w:p w14:paraId="1B6FBAC8" w14:textId="77777777" w:rsidR="00022D75" w:rsidRPr="001E4599" w:rsidRDefault="00022D75" w:rsidP="004E1324">
      <w:pPr>
        <w:shd w:val="clear" w:color="auto" w:fill="FFFFFF"/>
        <w:spacing w:after="0" w:line="360" w:lineRule="auto"/>
        <w:jc w:val="both"/>
        <w:rPr>
          <w:rFonts w:ascii="Times New Roman" w:eastAsia="Times New Roman" w:hAnsi="Times New Roman" w:cs="Times New Roman"/>
          <w:sz w:val="26"/>
          <w:szCs w:val="26"/>
        </w:rPr>
      </w:pPr>
      <w:r w:rsidRPr="001E4599">
        <w:rPr>
          <w:rFonts w:ascii="Times New Roman" w:eastAsia="Times New Roman" w:hAnsi="Times New Roman" w:cs="Times New Roman"/>
          <w:i/>
          <w:iCs/>
          <w:sz w:val="26"/>
          <w:szCs w:val="26"/>
        </w:rPr>
        <w:t>“Điều 4. Nguyên tắc tính thuế</w:t>
      </w:r>
    </w:p>
    <w:p w14:paraId="1FE584D5" w14:textId="77777777" w:rsidR="00022D75" w:rsidRPr="001E4599" w:rsidRDefault="00022D75" w:rsidP="004E1324">
      <w:pPr>
        <w:shd w:val="clear" w:color="auto" w:fill="FFFFFF"/>
        <w:spacing w:after="0" w:line="360" w:lineRule="auto"/>
        <w:jc w:val="both"/>
        <w:rPr>
          <w:rFonts w:ascii="Times New Roman" w:eastAsia="Times New Roman" w:hAnsi="Times New Roman" w:cs="Times New Roman"/>
          <w:sz w:val="26"/>
          <w:szCs w:val="26"/>
        </w:rPr>
      </w:pPr>
      <w:r w:rsidRPr="001E4599">
        <w:rPr>
          <w:rFonts w:ascii="Times New Roman" w:eastAsia="Times New Roman" w:hAnsi="Times New Roman" w:cs="Times New Roman"/>
          <w:i/>
          <w:iCs/>
          <w:sz w:val="26"/>
          <w:szCs w:val="26"/>
        </w:rPr>
        <w:t>2. Hộ kinh doanh, cá nhân kinh doanh có doanh thu từ hoạt động sản xuất, kinh doanh trong năm dương lịch từ 100 triệu đồng trở xuống thì thuộc trường hợp không phải nộp thuế GTGT và không phải nộp thuế TNCN theo quy định pháp luật về thuế GTGT và thuế TNCN. Hộ kinh doanh, cá nhân kinh doanh có trách nhiệm khai thuế chính xác, trung thực, đầy đủ và nộp hồ sơ thuế đúng hạn; chịu trách nhiệm trước pháp luật về tính chính xác, trung thực, đầy đủ của hồ sơ thuế theo quy định.</w:t>
      </w:r>
    </w:p>
    <w:p w14:paraId="4325970D" w14:textId="77777777" w:rsidR="00022D75" w:rsidRPr="001E4599" w:rsidRDefault="00022D75" w:rsidP="004E1324">
      <w:pPr>
        <w:shd w:val="clear" w:color="auto" w:fill="FFFFFF"/>
        <w:spacing w:after="0" w:line="360" w:lineRule="auto"/>
        <w:jc w:val="both"/>
        <w:rPr>
          <w:rFonts w:ascii="Times New Roman" w:eastAsia="Times New Roman" w:hAnsi="Times New Roman" w:cs="Times New Roman"/>
          <w:sz w:val="26"/>
          <w:szCs w:val="26"/>
        </w:rPr>
      </w:pPr>
      <w:r w:rsidRPr="001E4599">
        <w:rPr>
          <w:rFonts w:ascii="Times New Roman" w:eastAsia="Times New Roman" w:hAnsi="Times New Roman" w:cs="Times New Roman"/>
          <w:i/>
          <w:iCs/>
          <w:sz w:val="26"/>
          <w:szCs w:val="26"/>
        </w:rPr>
        <w:t>3. Hộ kinh doanh, cá nhân kinh doanh theo hình thức nhóm cá nhân, hộ gia đình thì mức doanh thu từ 100 triệu đồng/năm trở xuống để xác định cá nhân không phải nộp thuế GTGT, không phải nộp thuế TNCN được xác định cho một (01) người đại diện duy nhất của nhóm cá nhân, hộ gia đình trong năm tính thuế.”</w:t>
      </w:r>
    </w:p>
    <w:p w14:paraId="1BF935D9" w14:textId="1CB1BF62" w:rsidR="00022D75" w:rsidRPr="00FB2E3C" w:rsidRDefault="00022D75" w:rsidP="00FB2E3C">
      <w:pPr>
        <w:shd w:val="clear" w:color="auto" w:fill="FFFFFF"/>
        <w:spacing w:after="0" w:line="360" w:lineRule="auto"/>
        <w:jc w:val="both"/>
        <w:rPr>
          <w:rFonts w:ascii="Times New Roman" w:eastAsia="Times New Roman" w:hAnsi="Times New Roman" w:cs="Times New Roman"/>
          <w:sz w:val="26"/>
          <w:szCs w:val="26"/>
        </w:rPr>
      </w:pPr>
      <w:r w:rsidRPr="001E4599">
        <w:rPr>
          <w:rFonts w:ascii="Times New Roman" w:eastAsia="Times New Roman" w:hAnsi="Times New Roman" w:cs="Times New Roman"/>
          <w:sz w:val="26"/>
          <w:szCs w:val="26"/>
        </w:rPr>
        <w:t>Như vậy, hộ kinh doanh, cá nhân bán hàng online năm 2022 phải nộp thuế thu nhập cá nhân nếu doanh thu trong năm dương lịch trên 100 triệu đồng.</w:t>
      </w:r>
    </w:p>
    <w:p w14:paraId="21CF49E7" w14:textId="5243DC78"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Căn cứ </w:t>
      </w:r>
      <w:hyperlink r:id="rId8" w:tgtFrame="_blank" w:history="1">
        <w:r w:rsidRPr="00FB2E3C">
          <w:rPr>
            <w:rStyle w:val="Hyperlink"/>
            <w:color w:val="auto"/>
            <w:sz w:val="26"/>
            <w:szCs w:val="26"/>
            <w:u w:val="none"/>
          </w:rPr>
          <w:t>khoản 1 Điều 10 Thông tư 40/2021/TT-BTC</w:t>
        </w:r>
      </w:hyperlink>
      <w:r w:rsidRPr="001E4599">
        <w:rPr>
          <w:sz w:val="26"/>
          <w:szCs w:val="26"/>
        </w:rPr>
        <w:t>, doanh thu tính thuế TNCN đối với hộ kinh doanh, cá nhân kinh doanh bao gồm:</w:t>
      </w:r>
    </w:p>
    <w:p w14:paraId="2852D8B8"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w:t>
      </w:r>
      <w:r w:rsidRPr="001E4599">
        <w:rPr>
          <w:sz w:val="26"/>
          <w:szCs w:val="26"/>
          <w:shd w:val="clear" w:color="auto" w:fill="FFFFFF"/>
        </w:rPr>
        <w:t>Doanh thu bao gồm thuế (trường hợp thuộc diện chịu thuế) của toàn bộ tiền bán hàng, tiền gia công, tiền hoa hồng, tiền cung ứng dịch vụ phát sinh trong kỳ tính thuế từ các hoạt động sản xuất, kinh doanh hàng hóa, dịch vụ, bao gồm cả các khoản thưởng, hỗ trợ đạt doanh số, khuyến mại, chiết khấu thương mại, chiết khấu thanh toán, chi hỗ trợ bằng tiền hoặc không bằng tiền;</w:t>
      </w:r>
    </w:p>
    <w:p w14:paraId="0D50CE5C"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Các khoản trợ giá, phụ thu, phụ trội, phí thu thêm được hưởng theo quy định;</w:t>
      </w:r>
    </w:p>
    <w:p w14:paraId="700945C8"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lastRenderedPageBreak/>
        <w:t>- Các khoản bồi thường vi phạm hợp đồng, bồi thường khác (chỉ tính vào doanh thu tính thuế TNCN);</w:t>
      </w:r>
    </w:p>
    <w:p w14:paraId="2EC709DC"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Doanh thu khác mà hộ kinh doanh, cá nhân kinh doanh được hưởng không phân biệt đã thu được tiền hay chưa thu được tiền.</w:t>
      </w:r>
    </w:p>
    <w:p w14:paraId="24D20EAC"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Căn cứ khoản 2 Điều 10 Thông tư 40/2021/TT-BTC, tỷ lệ thuế tính trên doanh thu được quy định như sau:</w:t>
      </w:r>
    </w:p>
    <w:p w14:paraId="2989967B"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Tỷ lệ thuế tính trên doanh thu gồm tỷ lệ thuế GTGT và tỷ lệ thuế TNCN áp dụng chi tiết đối với từng lĩnh vực, ngành nghề theo hướng dẫn tại Phụ lục I ban hành kèm theo Thông tư này.</w:t>
      </w:r>
    </w:p>
    <w:p w14:paraId="1E5EB6CA"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Trường hợp hộ kinh doanh, cá nhân kinh doanh hoạt động nhiều lĩnh vực, ngành nghề thì hộ kinh doanh, cá nhân kinh doanh thực hiện khai và tính thuế theo tỷ lệ thuế tính trên doanh thu áp dụng đối với từng lĩnh vực, ngành nghề. Trường hợp hộ kinh doanh, cá nhân kinh doanh không xác định được doanh thu tính thuế của từng lĩnh vực, ngành nghề hoặc xác định không phù hợp với thực tế kinh doanh thì cơ quan thuế thực hiện ấn định doanh thu tính thuế của từng lĩnh vực, ngành nghề theo quy định của pháp luật về quản lý thuế.</w:t>
      </w:r>
    </w:p>
    <w:p w14:paraId="32972F83"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Căn cứ </w:t>
      </w:r>
      <w:hyperlink r:id="rId9" w:tgtFrame="_blank" w:history="1">
        <w:r w:rsidRPr="00FB2E3C">
          <w:rPr>
            <w:rStyle w:val="Hyperlink"/>
            <w:color w:val="auto"/>
            <w:sz w:val="26"/>
            <w:szCs w:val="26"/>
            <w:u w:val="none"/>
          </w:rPr>
          <w:t>khoản 3 Điều 10 Thông tư 40/2021/TT-BTC</w:t>
        </w:r>
      </w:hyperlink>
      <w:r w:rsidRPr="00FB2E3C">
        <w:rPr>
          <w:sz w:val="26"/>
          <w:szCs w:val="26"/>
        </w:rPr>
        <w:t>,</w:t>
      </w:r>
      <w:r w:rsidRPr="001E4599">
        <w:rPr>
          <w:sz w:val="26"/>
          <w:szCs w:val="26"/>
        </w:rPr>
        <w:t xml:space="preserve"> số thuế phải nộp được xác định bằng công thức sau:</w:t>
      </w:r>
    </w:p>
    <w:p w14:paraId="6D067D0B"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shd w:val="clear" w:color="auto" w:fill="FFFFFF"/>
        </w:rPr>
        <w:t>Số thuế TNCN phải nộp = Doanh thu tính thuế TNCN x Tỷ lệ thuế TNCN</w:t>
      </w:r>
    </w:p>
    <w:p w14:paraId="2CF801A3"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Trong đó:</w:t>
      </w:r>
    </w:p>
    <w:p w14:paraId="4163A0C2"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r w:rsidRPr="001E4599">
        <w:rPr>
          <w:sz w:val="26"/>
          <w:szCs w:val="26"/>
        </w:rPr>
        <w:t>- Doanh thu tính thuế TNCN theo hướng dẫn tại khoản 1 Điều này.</w:t>
      </w:r>
    </w:p>
    <w:p w14:paraId="261B0473" w14:textId="75867EAD" w:rsidR="00022D75" w:rsidRPr="001E4599" w:rsidRDefault="00022D75" w:rsidP="004E1324">
      <w:pPr>
        <w:pStyle w:val="NormalWeb"/>
        <w:shd w:val="clear" w:color="auto" w:fill="FFFFFF"/>
        <w:spacing w:before="0" w:beforeAutospacing="0" w:after="0" w:afterAutospacing="0" w:line="360" w:lineRule="auto"/>
        <w:rPr>
          <w:sz w:val="26"/>
          <w:szCs w:val="26"/>
        </w:rPr>
      </w:pPr>
      <w:r w:rsidRPr="001E4599">
        <w:rPr>
          <w:sz w:val="26"/>
          <w:szCs w:val="26"/>
        </w:rPr>
        <w:t>- Tỷ lệ thuế TNCN theo hướng dẫn tại Phụ lục I ban hành kèm Thông tư này.</w:t>
      </w:r>
    </w:p>
    <w:p w14:paraId="43B696F4" w14:textId="1581E437" w:rsidR="00022D75" w:rsidRPr="00FB2E3C" w:rsidRDefault="00022D75" w:rsidP="004E1324">
      <w:pPr>
        <w:pStyle w:val="NormalWeb"/>
        <w:shd w:val="clear" w:color="auto" w:fill="FFFFFF"/>
        <w:spacing w:before="0" w:beforeAutospacing="0" w:after="0" w:afterAutospacing="0" w:line="360" w:lineRule="auto"/>
        <w:rPr>
          <w:rStyle w:val="Emphasis"/>
          <w:sz w:val="26"/>
          <w:szCs w:val="26"/>
          <w:shd w:val="clear" w:color="auto" w:fill="F0F0F0"/>
        </w:rPr>
      </w:pPr>
      <w:r w:rsidRPr="00FB2E3C">
        <w:rPr>
          <w:sz w:val="26"/>
          <w:szCs w:val="26"/>
        </w:rPr>
        <w:t xml:space="preserve">Ví dụ: </w:t>
      </w:r>
      <w:r w:rsidR="004E1324" w:rsidRPr="00FB2E3C">
        <w:rPr>
          <w:rStyle w:val="Emphasis"/>
          <w:i w:val="0"/>
          <w:iCs w:val="0"/>
          <w:sz w:val="26"/>
          <w:szCs w:val="26"/>
        </w:rPr>
        <w:t xml:space="preserve">Chị </w:t>
      </w:r>
      <w:proofErr w:type="gramStart"/>
      <w:r w:rsidR="004E1324" w:rsidRPr="00FB2E3C">
        <w:rPr>
          <w:rStyle w:val="Emphasis"/>
          <w:i w:val="0"/>
          <w:iCs w:val="0"/>
          <w:sz w:val="26"/>
          <w:szCs w:val="26"/>
        </w:rPr>
        <w:t>Minh  tự</w:t>
      </w:r>
      <w:proofErr w:type="gramEnd"/>
      <w:r w:rsidR="004E1324" w:rsidRPr="00FB2E3C">
        <w:rPr>
          <w:rStyle w:val="Emphasis"/>
          <w:i w:val="0"/>
          <w:iCs w:val="0"/>
          <w:sz w:val="26"/>
          <w:szCs w:val="26"/>
        </w:rPr>
        <w:t xml:space="preserve"> kinh doanh bán hàng online qua zalo, facebook, livestream trên tittok… Mặt hàng kinh doanh của chị là mặt hàng thực phẩm. Chị </w:t>
      </w:r>
      <w:proofErr w:type="gramStart"/>
      <w:r w:rsidR="004E1324" w:rsidRPr="00FB2E3C">
        <w:rPr>
          <w:rStyle w:val="Emphasis"/>
          <w:i w:val="0"/>
          <w:iCs w:val="0"/>
          <w:sz w:val="26"/>
          <w:szCs w:val="26"/>
        </w:rPr>
        <w:t>Minh  ước</w:t>
      </w:r>
      <w:proofErr w:type="gramEnd"/>
      <w:r w:rsidR="004E1324" w:rsidRPr="00FB2E3C">
        <w:rPr>
          <w:rStyle w:val="Emphasis"/>
          <w:i w:val="0"/>
          <w:iCs w:val="0"/>
          <w:sz w:val="26"/>
          <w:szCs w:val="26"/>
        </w:rPr>
        <w:t xml:space="preserve"> tính doanh thu trong năm là 120tr.</w:t>
      </w:r>
      <w:r w:rsidR="004E1324" w:rsidRPr="00FB2E3C">
        <w:rPr>
          <w:rStyle w:val="Emphasis"/>
          <w:sz w:val="26"/>
          <w:szCs w:val="26"/>
          <w:shd w:val="clear" w:color="auto" w:fill="F0F0F0"/>
        </w:rPr>
        <w:t> </w:t>
      </w:r>
    </w:p>
    <w:p w14:paraId="68A2678F" w14:textId="39602B26" w:rsidR="004E1324" w:rsidRPr="00FB2E3C" w:rsidRDefault="004E1324" w:rsidP="00FB2E3C">
      <w:pPr>
        <w:pStyle w:val="NormalWeb"/>
        <w:spacing w:before="0" w:beforeAutospacing="0" w:after="0" w:afterAutospacing="0" w:line="360" w:lineRule="auto"/>
        <w:rPr>
          <w:sz w:val="26"/>
          <w:szCs w:val="26"/>
        </w:rPr>
      </w:pPr>
      <w:r w:rsidRPr="00FB2E3C">
        <w:rPr>
          <w:sz w:val="26"/>
          <w:szCs w:val="26"/>
        </w:rPr>
        <w:t>Tỷ suất thuế TNCN là 0,5% và tỷ suất GTGT là 1%.</w:t>
      </w:r>
    </w:p>
    <w:p w14:paraId="396BCB71" w14:textId="1FD514E0" w:rsidR="004E1324" w:rsidRPr="00FB2E3C" w:rsidRDefault="004E1324" w:rsidP="00FB2E3C">
      <w:pPr>
        <w:pStyle w:val="NormalWeb"/>
        <w:spacing w:before="0" w:beforeAutospacing="0" w:after="0" w:afterAutospacing="0" w:line="360" w:lineRule="auto"/>
        <w:rPr>
          <w:sz w:val="26"/>
          <w:szCs w:val="26"/>
        </w:rPr>
      </w:pPr>
      <w:r w:rsidRPr="00FB2E3C">
        <w:rPr>
          <w:sz w:val="26"/>
          <w:szCs w:val="26"/>
        </w:rPr>
        <w:t xml:space="preserve">Thuế TNCN mà Chị </w:t>
      </w:r>
      <w:proofErr w:type="gramStart"/>
      <w:r w:rsidRPr="00FB2E3C">
        <w:rPr>
          <w:sz w:val="26"/>
          <w:szCs w:val="26"/>
        </w:rPr>
        <w:t>Minh  phải</w:t>
      </w:r>
      <w:proofErr w:type="gramEnd"/>
      <w:r w:rsidRPr="00FB2E3C">
        <w:rPr>
          <w:sz w:val="26"/>
          <w:szCs w:val="26"/>
        </w:rPr>
        <w:t xml:space="preserve"> nôp = 120tr x 0.5% = 600.000 đồng</w:t>
      </w:r>
    </w:p>
    <w:p w14:paraId="77687681" w14:textId="568F9CB6" w:rsidR="004E1324" w:rsidRPr="00FB2E3C" w:rsidRDefault="004E1324" w:rsidP="00FB2E3C">
      <w:pPr>
        <w:pStyle w:val="NormalWeb"/>
        <w:spacing w:before="0" w:beforeAutospacing="0" w:after="0" w:afterAutospacing="0" w:line="360" w:lineRule="auto"/>
        <w:rPr>
          <w:sz w:val="26"/>
          <w:szCs w:val="26"/>
        </w:rPr>
      </w:pPr>
      <w:r w:rsidRPr="00FB2E3C">
        <w:rPr>
          <w:sz w:val="26"/>
          <w:szCs w:val="26"/>
        </w:rPr>
        <w:t xml:space="preserve">Thuế GTGT mà Chị </w:t>
      </w:r>
      <w:proofErr w:type="gramStart"/>
      <w:r w:rsidRPr="00FB2E3C">
        <w:rPr>
          <w:sz w:val="26"/>
          <w:szCs w:val="26"/>
        </w:rPr>
        <w:t>Minh  phải</w:t>
      </w:r>
      <w:proofErr w:type="gramEnd"/>
      <w:r w:rsidRPr="00FB2E3C">
        <w:rPr>
          <w:sz w:val="26"/>
          <w:szCs w:val="26"/>
        </w:rPr>
        <w:t xml:space="preserve"> nộp = 120tr x 1% = 1.200.000 đồng</w:t>
      </w:r>
    </w:p>
    <w:p w14:paraId="7D972580" w14:textId="7462F4B5" w:rsidR="004E1324" w:rsidRPr="00FB2E3C" w:rsidRDefault="004E1324" w:rsidP="00FB2E3C">
      <w:pPr>
        <w:pStyle w:val="NormalWeb"/>
        <w:spacing w:before="0" w:beforeAutospacing="0" w:after="0" w:afterAutospacing="0" w:line="360" w:lineRule="auto"/>
        <w:rPr>
          <w:sz w:val="26"/>
          <w:szCs w:val="26"/>
        </w:rPr>
      </w:pPr>
      <w:r w:rsidRPr="00FB2E3C">
        <w:rPr>
          <w:sz w:val="26"/>
          <w:szCs w:val="26"/>
        </w:rPr>
        <w:t xml:space="preserve">Tổng thuế Chị </w:t>
      </w:r>
      <w:proofErr w:type="gramStart"/>
      <w:r w:rsidRPr="00FB2E3C">
        <w:rPr>
          <w:sz w:val="26"/>
          <w:szCs w:val="26"/>
        </w:rPr>
        <w:t>Minh  phải</w:t>
      </w:r>
      <w:proofErr w:type="gramEnd"/>
      <w:r w:rsidRPr="00FB2E3C">
        <w:rPr>
          <w:sz w:val="26"/>
          <w:szCs w:val="26"/>
        </w:rPr>
        <w:t xml:space="preserve"> nộp cho nhà nước là: 1.800.000 đồng</w:t>
      </w:r>
    </w:p>
    <w:p w14:paraId="48BF4DFF" w14:textId="77777777" w:rsidR="00FB2E3C" w:rsidRDefault="00FB2E3C" w:rsidP="004E1324">
      <w:pPr>
        <w:pStyle w:val="NormalWeb"/>
        <w:shd w:val="clear" w:color="auto" w:fill="FFFFFF"/>
        <w:spacing w:before="0" w:beforeAutospacing="0" w:after="0" w:afterAutospacing="0" w:line="360" w:lineRule="auto"/>
        <w:rPr>
          <w:sz w:val="26"/>
          <w:szCs w:val="26"/>
        </w:rPr>
      </w:pPr>
    </w:p>
    <w:p w14:paraId="331CC037" w14:textId="6A07CFE4" w:rsidR="004E1324" w:rsidRPr="001E4599" w:rsidRDefault="007323FB" w:rsidP="004E1324">
      <w:pPr>
        <w:pStyle w:val="NormalWeb"/>
        <w:shd w:val="clear" w:color="auto" w:fill="FFFFFF"/>
        <w:spacing w:before="0" w:beforeAutospacing="0" w:after="0" w:afterAutospacing="0" w:line="360" w:lineRule="auto"/>
        <w:rPr>
          <w:sz w:val="26"/>
          <w:szCs w:val="26"/>
        </w:rPr>
      </w:pPr>
      <w:r w:rsidRPr="001E4599">
        <w:rPr>
          <w:sz w:val="26"/>
          <w:szCs w:val="26"/>
        </w:rPr>
        <w:lastRenderedPageBreak/>
        <w:t>Tài liệu tham khảo:</w:t>
      </w:r>
    </w:p>
    <w:p w14:paraId="632B6D54" w14:textId="27E69BCA" w:rsidR="007323FB" w:rsidRPr="001E4599" w:rsidRDefault="007323FB" w:rsidP="00882224">
      <w:pPr>
        <w:pStyle w:val="NormalWeb"/>
        <w:numPr>
          <w:ilvl w:val="0"/>
          <w:numId w:val="1"/>
        </w:numPr>
        <w:shd w:val="clear" w:color="auto" w:fill="FFFFFF"/>
        <w:spacing w:before="0" w:beforeAutospacing="0" w:after="0" w:afterAutospacing="0" w:line="360" w:lineRule="auto"/>
        <w:rPr>
          <w:sz w:val="26"/>
          <w:szCs w:val="26"/>
          <w:shd w:val="clear" w:color="auto" w:fill="FFFFFF"/>
        </w:rPr>
      </w:pPr>
      <w:r w:rsidRPr="001E4599">
        <w:rPr>
          <w:sz w:val="26"/>
          <w:szCs w:val="26"/>
          <w:shd w:val="clear" w:color="auto" w:fill="FFFFFF"/>
        </w:rPr>
        <w:t>Thông tư 40/2021/TT-BTC </w:t>
      </w:r>
      <w:r w:rsidRPr="001E4599">
        <w:rPr>
          <w:b/>
          <w:bCs/>
          <w:sz w:val="26"/>
          <w:szCs w:val="26"/>
          <w:shd w:val="clear" w:color="auto" w:fill="FFFFFF"/>
        </w:rPr>
        <w:t>quy định về thuế giá trị gia tăng (GTGT), thuế thu nhập cá nhân (TNCN) và quản lý thuế đối với cá nhân kinh doanh, hộ kinh doanh</w:t>
      </w:r>
      <w:r w:rsidR="00AF70F9">
        <w:rPr>
          <w:sz w:val="26"/>
          <w:szCs w:val="26"/>
          <w:shd w:val="clear" w:color="auto" w:fill="FFFFFF"/>
        </w:rPr>
        <w:t>, b</w:t>
      </w:r>
      <w:r w:rsidR="008006B8" w:rsidRPr="001E4599">
        <w:rPr>
          <w:sz w:val="26"/>
          <w:szCs w:val="26"/>
          <w:shd w:val="clear" w:color="auto" w:fill="FFFFFF"/>
        </w:rPr>
        <w:t xml:space="preserve">an </w:t>
      </w:r>
      <w:proofErr w:type="gramStart"/>
      <w:r w:rsidR="008006B8" w:rsidRPr="001E4599">
        <w:rPr>
          <w:sz w:val="26"/>
          <w:szCs w:val="26"/>
          <w:shd w:val="clear" w:color="auto" w:fill="FFFFFF"/>
        </w:rPr>
        <w:t xml:space="preserve">hành </w:t>
      </w:r>
      <w:r w:rsidRPr="001E4599">
        <w:rPr>
          <w:sz w:val="26"/>
          <w:szCs w:val="26"/>
          <w:shd w:val="clear" w:color="auto" w:fill="FFFFFF"/>
        </w:rPr>
        <w:t xml:space="preserve"> ngày</w:t>
      </w:r>
      <w:proofErr w:type="gramEnd"/>
      <w:r w:rsidRPr="001E4599">
        <w:rPr>
          <w:sz w:val="26"/>
          <w:szCs w:val="26"/>
          <w:shd w:val="clear" w:color="auto" w:fill="FFFFFF"/>
        </w:rPr>
        <w:t xml:space="preserve"> 01/08/2021.</w:t>
      </w:r>
    </w:p>
    <w:p w14:paraId="5033CE41" w14:textId="7E467E97" w:rsidR="00882224" w:rsidRPr="00AF70F9" w:rsidRDefault="00882224" w:rsidP="00882224">
      <w:pPr>
        <w:pStyle w:val="NormalWeb"/>
        <w:numPr>
          <w:ilvl w:val="0"/>
          <w:numId w:val="1"/>
        </w:numPr>
        <w:shd w:val="clear" w:color="auto" w:fill="FFFFFF"/>
        <w:spacing w:before="0" w:beforeAutospacing="0" w:after="0" w:afterAutospacing="0" w:line="360" w:lineRule="auto"/>
        <w:rPr>
          <w:sz w:val="26"/>
          <w:szCs w:val="26"/>
        </w:rPr>
      </w:pPr>
      <w:r w:rsidRPr="001E4599">
        <w:rPr>
          <w:sz w:val="26"/>
          <w:szCs w:val="26"/>
          <w:shd w:val="clear" w:color="auto" w:fill="FFFFFF"/>
        </w:rPr>
        <w:t>2.</w:t>
      </w:r>
      <w:r w:rsidRPr="001E4599">
        <w:rPr>
          <w:sz w:val="26"/>
          <w:szCs w:val="26"/>
        </w:rPr>
        <w:t xml:space="preserve"> </w:t>
      </w:r>
      <w:hyperlink r:id="rId10" w:history="1">
        <w:r w:rsidR="00EC4F3E" w:rsidRPr="00AF70F9">
          <w:rPr>
            <w:rStyle w:val="Hyperlink"/>
            <w:color w:val="auto"/>
            <w:sz w:val="26"/>
            <w:szCs w:val="26"/>
            <w:u w:val="none"/>
            <w:shd w:val="clear" w:color="auto" w:fill="FFFFFF"/>
          </w:rPr>
          <w:t>https://thuvienphapluat.vn/phap-luat/thoi-su-phap-luat/ban-hang-online-nam-2022-tinh-thue-thu-nhap-ca-nhan-nhu-the-nao-muc-doanh-thu-phai-nop-thue-thu-nha-486871-10701.html</w:t>
        </w:r>
      </w:hyperlink>
      <w:r w:rsidR="00AF70F9" w:rsidRPr="00AF70F9">
        <w:rPr>
          <w:rStyle w:val="Hyperlink"/>
          <w:color w:val="auto"/>
          <w:sz w:val="26"/>
          <w:szCs w:val="26"/>
          <w:u w:val="none"/>
          <w:shd w:val="clear" w:color="auto" w:fill="FFFFFF"/>
        </w:rPr>
        <w:t>, truy cập ngày 13/9/2022</w:t>
      </w:r>
    </w:p>
    <w:p w14:paraId="2E194703" w14:textId="6AF55EE9" w:rsidR="00EC4F3E" w:rsidRPr="001E4599" w:rsidRDefault="00AF70F9" w:rsidP="00882224">
      <w:pPr>
        <w:pStyle w:val="NormalWeb"/>
        <w:numPr>
          <w:ilvl w:val="0"/>
          <w:numId w:val="1"/>
        </w:numPr>
        <w:shd w:val="clear" w:color="auto" w:fill="FFFFFF"/>
        <w:spacing w:before="0" w:beforeAutospacing="0" w:after="0" w:afterAutospacing="0" w:line="360" w:lineRule="auto"/>
        <w:rPr>
          <w:sz w:val="26"/>
          <w:szCs w:val="26"/>
        </w:rPr>
      </w:pPr>
      <w:hyperlink r:id="rId11" w:history="1">
        <w:r w:rsidRPr="00AF70F9">
          <w:rPr>
            <w:rStyle w:val="Hyperlink"/>
            <w:color w:val="auto"/>
            <w:sz w:val="26"/>
            <w:szCs w:val="26"/>
            <w:u w:val="none"/>
          </w:rPr>
          <w:t>https://luatvietnam.vn/thue-phi-le-phi/thue-thu-nhap-ca-nhan-khi-ban-hang-online-565-89393-article.html</w:t>
        </w:r>
      </w:hyperlink>
      <w:r>
        <w:rPr>
          <w:sz w:val="26"/>
          <w:szCs w:val="26"/>
        </w:rPr>
        <w:t>, truy cập ngày 13/9/2022.</w:t>
      </w:r>
    </w:p>
    <w:p w14:paraId="4BF3C737" w14:textId="77777777" w:rsidR="00022D75" w:rsidRPr="001E4599" w:rsidRDefault="00022D75" w:rsidP="004E1324">
      <w:pPr>
        <w:pStyle w:val="NormalWeb"/>
        <w:shd w:val="clear" w:color="auto" w:fill="FFFFFF"/>
        <w:spacing w:before="0" w:beforeAutospacing="0" w:after="0" w:afterAutospacing="0" w:line="360" w:lineRule="auto"/>
        <w:jc w:val="both"/>
        <w:rPr>
          <w:sz w:val="26"/>
          <w:szCs w:val="26"/>
        </w:rPr>
      </w:pPr>
    </w:p>
    <w:p w14:paraId="10D905C2" w14:textId="77777777" w:rsidR="00022D75" w:rsidRPr="001E4599" w:rsidRDefault="00022D75" w:rsidP="004E1324">
      <w:pPr>
        <w:spacing w:after="0" w:line="360" w:lineRule="auto"/>
        <w:rPr>
          <w:rFonts w:ascii="Times New Roman" w:hAnsi="Times New Roman" w:cs="Times New Roman"/>
          <w:sz w:val="26"/>
          <w:szCs w:val="26"/>
        </w:rPr>
      </w:pPr>
    </w:p>
    <w:p w14:paraId="5E0422A9" w14:textId="77777777" w:rsidR="0045652C" w:rsidRPr="001E4599" w:rsidRDefault="0045652C" w:rsidP="004E1324">
      <w:pPr>
        <w:spacing w:after="0" w:line="360" w:lineRule="auto"/>
        <w:rPr>
          <w:rFonts w:ascii="Times New Roman" w:hAnsi="Times New Roman" w:cs="Times New Roman"/>
          <w:sz w:val="26"/>
          <w:szCs w:val="26"/>
        </w:rPr>
      </w:pPr>
    </w:p>
    <w:sectPr w:rsidR="0045652C" w:rsidRPr="001E4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B0500000000000000"/>
    <w:charset w:val="00"/>
    <w:family w:val="swiss"/>
    <w:pitch w:val="variable"/>
    <w:sig w:usb0="20000A87" w:usb1="08000000" w:usb2="00000008" w:usb3="00000000" w:csb0="000001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B24A3"/>
    <w:multiLevelType w:val="hybridMultilevel"/>
    <w:tmpl w:val="B6C06BDA"/>
    <w:lvl w:ilvl="0" w:tplc="CBC86EA2">
      <w:start w:val="1"/>
      <w:numFmt w:val="decimal"/>
      <w:lvlText w:val="%1."/>
      <w:lvlJc w:val="left"/>
      <w:pPr>
        <w:ind w:left="720" w:hanging="360"/>
      </w:pPr>
      <w:rPr>
        <w:rFonts w:ascii="Times" w:hAnsi="Times" w:cs="Times" w:hint="default"/>
        <w:color w:val="21252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87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2C"/>
    <w:rsid w:val="00022D75"/>
    <w:rsid w:val="00154C82"/>
    <w:rsid w:val="001E4599"/>
    <w:rsid w:val="0045652C"/>
    <w:rsid w:val="004E1324"/>
    <w:rsid w:val="0060434D"/>
    <w:rsid w:val="007323FB"/>
    <w:rsid w:val="008006B8"/>
    <w:rsid w:val="00882224"/>
    <w:rsid w:val="00AF70F9"/>
    <w:rsid w:val="00BC4B9C"/>
    <w:rsid w:val="00DA26AF"/>
    <w:rsid w:val="00EC4F3E"/>
    <w:rsid w:val="00FB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A411"/>
  <w15:chartTrackingRefBased/>
  <w15:docId w15:val="{941BF6EF-A7B1-400F-BC7E-D928DFFDF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2D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2D75"/>
    <w:rPr>
      <w:color w:val="0000FF"/>
      <w:u w:val="single"/>
    </w:rPr>
  </w:style>
  <w:style w:type="character" w:styleId="Emphasis">
    <w:name w:val="Emphasis"/>
    <w:basedOn w:val="DefaultParagraphFont"/>
    <w:uiPriority w:val="20"/>
    <w:qFormat/>
    <w:rsid w:val="00022D75"/>
    <w:rPr>
      <w:i/>
      <w:iCs/>
    </w:rPr>
  </w:style>
  <w:style w:type="character" w:styleId="Strong">
    <w:name w:val="Strong"/>
    <w:basedOn w:val="DefaultParagraphFont"/>
    <w:uiPriority w:val="22"/>
    <w:qFormat/>
    <w:rsid w:val="00022D75"/>
    <w:rPr>
      <w:b/>
      <w:bCs/>
    </w:rPr>
  </w:style>
  <w:style w:type="character" w:styleId="UnresolvedMention">
    <w:name w:val="Unresolved Mention"/>
    <w:basedOn w:val="DefaultParagraphFont"/>
    <w:uiPriority w:val="99"/>
    <w:semiHidden/>
    <w:unhideWhenUsed/>
    <w:rsid w:val="00EC4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454227">
      <w:bodyDiv w:val="1"/>
      <w:marLeft w:val="0"/>
      <w:marRight w:val="0"/>
      <w:marTop w:val="0"/>
      <w:marBottom w:val="0"/>
      <w:divBdr>
        <w:top w:val="none" w:sz="0" w:space="0" w:color="auto"/>
        <w:left w:val="none" w:sz="0" w:space="0" w:color="auto"/>
        <w:bottom w:val="none" w:sz="0" w:space="0" w:color="auto"/>
        <w:right w:val="none" w:sz="0" w:space="0" w:color="auto"/>
      </w:divBdr>
    </w:div>
    <w:div w:id="441724457">
      <w:bodyDiv w:val="1"/>
      <w:marLeft w:val="0"/>
      <w:marRight w:val="0"/>
      <w:marTop w:val="0"/>
      <w:marBottom w:val="0"/>
      <w:divBdr>
        <w:top w:val="none" w:sz="0" w:space="0" w:color="auto"/>
        <w:left w:val="none" w:sz="0" w:space="0" w:color="auto"/>
        <w:bottom w:val="none" w:sz="0" w:space="0" w:color="auto"/>
        <w:right w:val="none" w:sz="0" w:space="0" w:color="auto"/>
      </w:divBdr>
    </w:div>
    <w:div w:id="1463185427">
      <w:bodyDiv w:val="1"/>
      <w:marLeft w:val="0"/>
      <w:marRight w:val="0"/>
      <w:marTop w:val="0"/>
      <w:marBottom w:val="0"/>
      <w:divBdr>
        <w:top w:val="none" w:sz="0" w:space="0" w:color="auto"/>
        <w:left w:val="none" w:sz="0" w:space="0" w:color="auto"/>
        <w:bottom w:val="none" w:sz="0" w:space="0" w:color="auto"/>
        <w:right w:val="none" w:sz="0" w:space="0" w:color="auto"/>
      </w:divBdr>
      <w:divsChild>
        <w:div w:id="163783061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9605238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7056886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78137680">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661039602">
      <w:bodyDiv w:val="1"/>
      <w:marLeft w:val="0"/>
      <w:marRight w:val="0"/>
      <w:marTop w:val="0"/>
      <w:marBottom w:val="0"/>
      <w:divBdr>
        <w:top w:val="none" w:sz="0" w:space="0" w:color="auto"/>
        <w:left w:val="none" w:sz="0" w:space="0" w:color="auto"/>
        <w:bottom w:val="none" w:sz="0" w:space="0" w:color="auto"/>
        <w:right w:val="none" w:sz="0" w:space="0" w:color="auto"/>
      </w:divBdr>
    </w:div>
    <w:div w:id="1845970830">
      <w:bodyDiv w:val="1"/>
      <w:marLeft w:val="0"/>
      <w:marRight w:val="0"/>
      <w:marTop w:val="0"/>
      <w:marBottom w:val="0"/>
      <w:divBdr>
        <w:top w:val="none" w:sz="0" w:space="0" w:color="auto"/>
        <w:left w:val="none" w:sz="0" w:space="0" w:color="auto"/>
        <w:bottom w:val="none" w:sz="0" w:space="0" w:color="auto"/>
        <w:right w:val="none" w:sz="0" w:space="0" w:color="auto"/>
      </w:divBdr>
      <w:divsChild>
        <w:div w:id="287512296">
          <w:marLeft w:val="-1050"/>
          <w:marRight w:val="0"/>
          <w:marTop w:val="0"/>
          <w:marBottom w:val="180"/>
          <w:divBdr>
            <w:top w:val="none" w:sz="0" w:space="0" w:color="auto"/>
            <w:left w:val="none" w:sz="0" w:space="0" w:color="auto"/>
            <w:bottom w:val="none" w:sz="0" w:space="0" w:color="auto"/>
            <w:right w:val="none" w:sz="0" w:space="0" w:color="auto"/>
          </w:divBdr>
        </w:div>
        <w:div w:id="2070378664">
          <w:marLeft w:val="0"/>
          <w:marRight w:val="0"/>
          <w:marTop w:val="0"/>
          <w:marBottom w:val="240"/>
          <w:divBdr>
            <w:top w:val="none" w:sz="0" w:space="0" w:color="auto"/>
            <w:left w:val="none" w:sz="0" w:space="0" w:color="auto"/>
            <w:bottom w:val="none" w:sz="0" w:space="0" w:color="auto"/>
            <w:right w:val="none" w:sz="0" w:space="0" w:color="auto"/>
          </w:divBdr>
          <w:divsChild>
            <w:div w:id="1662393846">
              <w:marLeft w:val="0"/>
              <w:marRight w:val="0"/>
              <w:marTop w:val="0"/>
              <w:marBottom w:val="0"/>
              <w:divBdr>
                <w:top w:val="none" w:sz="0" w:space="0" w:color="auto"/>
                <w:left w:val="none" w:sz="0" w:space="0" w:color="auto"/>
                <w:bottom w:val="none" w:sz="0" w:space="0" w:color="auto"/>
                <w:right w:val="none" w:sz="0" w:space="0" w:color="auto"/>
              </w:divBdr>
            </w:div>
            <w:div w:id="1911234956">
              <w:marLeft w:val="0"/>
              <w:marRight w:val="0"/>
              <w:marTop w:val="0"/>
              <w:marBottom w:val="0"/>
              <w:divBdr>
                <w:top w:val="none" w:sz="0" w:space="0" w:color="auto"/>
                <w:left w:val="none" w:sz="0" w:space="0" w:color="auto"/>
                <w:bottom w:val="none" w:sz="0" w:space="0" w:color="auto"/>
                <w:right w:val="none" w:sz="0" w:space="0" w:color="auto"/>
              </w:divBdr>
            </w:div>
          </w:divsChild>
        </w:div>
        <w:div w:id="2112043173">
          <w:marLeft w:val="0"/>
          <w:marRight w:val="0"/>
          <w:marTop w:val="0"/>
          <w:marBottom w:val="0"/>
          <w:divBdr>
            <w:top w:val="none" w:sz="0" w:space="0" w:color="auto"/>
            <w:left w:val="none" w:sz="0" w:space="0" w:color="auto"/>
            <w:bottom w:val="none" w:sz="0" w:space="0" w:color="auto"/>
            <w:right w:val="none" w:sz="0" w:space="0" w:color="auto"/>
          </w:divBdr>
          <w:divsChild>
            <w:div w:id="209000140">
              <w:marLeft w:val="0"/>
              <w:marRight w:val="240"/>
              <w:marTop w:val="0"/>
              <w:marBottom w:val="0"/>
              <w:divBdr>
                <w:top w:val="none" w:sz="0" w:space="0" w:color="auto"/>
                <w:left w:val="none" w:sz="0" w:space="0" w:color="auto"/>
                <w:bottom w:val="none" w:sz="0" w:space="0" w:color="auto"/>
                <w:right w:val="none" w:sz="0" w:space="0" w:color="auto"/>
              </w:divBdr>
              <w:divsChild>
                <w:div w:id="291059112">
                  <w:marLeft w:val="0"/>
                  <w:marRight w:val="0"/>
                  <w:marTop w:val="0"/>
                  <w:marBottom w:val="0"/>
                  <w:divBdr>
                    <w:top w:val="none" w:sz="0" w:space="0" w:color="auto"/>
                    <w:left w:val="none" w:sz="0" w:space="0" w:color="auto"/>
                    <w:bottom w:val="none" w:sz="0" w:space="0" w:color="auto"/>
                    <w:right w:val="none" w:sz="0" w:space="0" w:color="auto"/>
                  </w:divBdr>
                  <w:divsChild>
                    <w:div w:id="18112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35953">
              <w:marLeft w:val="0"/>
              <w:marRight w:val="0"/>
              <w:marTop w:val="0"/>
              <w:marBottom w:val="0"/>
              <w:divBdr>
                <w:top w:val="none" w:sz="0" w:space="0" w:color="auto"/>
                <w:left w:val="none" w:sz="0" w:space="0" w:color="auto"/>
                <w:bottom w:val="none" w:sz="0" w:space="0" w:color="auto"/>
                <w:right w:val="none" w:sz="0" w:space="0" w:color="auto"/>
              </w:divBdr>
              <w:divsChild>
                <w:div w:id="1979334000">
                  <w:marLeft w:val="0"/>
                  <w:marRight w:val="0"/>
                  <w:marTop w:val="0"/>
                  <w:marBottom w:val="0"/>
                  <w:divBdr>
                    <w:top w:val="none" w:sz="0" w:space="0" w:color="auto"/>
                    <w:left w:val="none" w:sz="0" w:space="0" w:color="auto"/>
                    <w:bottom w:val="none" w:sz="0" w:space="0" w:color="auto"/>
                    <w:right w:val="none" w:sz="0" w:space="0" w:color="auto"/>
                  </w:divBdr>
                  <w:divsChild>
                    <w:div w:id="7608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732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Thong-tu-40-2021-TT-BTC-huong-dan-thue-gia-tri-gia-tang-thue-thu-nhap-ca-nhan-477635.aspx?anchor=dieu_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Thue-Phi-Le-Phi/Thong-tu-40-2021-TT-BTC-huong-dan-thue-gia-tri-gia-tang-thue-thu-nhap-ca-nhan-477635.aspx?anchor=dieu_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phap-luat/tag/thue-thu-nhap-ca-nhan" TargetMode="External"/><Relationship Id="rId11" Type="http://schemas.openxmlformats.org/officeDocument/2006/relationships/hyperlink" Target="https://luatvietnam.vn/thue-phi-le-phi/thue-thu-nhap-ca-nhan-khi-ban-hang-online-565-89393-article.html" TargetMode="External"/><Relationship Id="rId5" Type="http://schemas.openxmlformats.org/officeDocument/2006/relationships/hyperlink" Target="https://thuvienphapluat.vn/van-ban/Thue-Phi-Le-Phi/Thong-tu-40-2021-TT-BTC-huong-dan-thue-gia-tri-gia-tang-thue-thu-nhap-ca-nhan-477635.aspx?anchor=dieu_2" TargetMode="External"/><Relationship Id="rId10" Type="http://schemas.openxmlformats.org/officeDocument/2006/relationships/hyperlink" Target="https://thuvienphapluat.vn/phap-luat/thoi-su-phap-luat/ban-hang-online-nam-2022-tinh-thue-thu-nhap-ca-nhan-nhu-the-nao-muc-doanh-thu-phai-nop-thue-thu-nha-486871-10701.html" TargetMode="External"/><Relationship Id="rId4" Type="http://schemas.openxmlformats.org/officeDocument/2006/relationships/webSettings" Target="webSettings.xml"/><Relationship Id="rId9" Type="http://schemas.openxmlformats.org/officeDocument/2006/relationships/hyperlink" Target="https://thuvienphapluat.vn/van-ban/Thue-Phi-Le-Phi/Thong-tu-40-2021-TT-BTC-huong-dan-thue-gia-tri-gia-tang-thue-thu-nhap-ca-nhan-477635.aspx?anchor=dieu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2022-09-13T06:42:00Z</dcterms:created>
  <dcterms:modified xsi:type="dcterms:W3CDTF">2022-09-13T13:20:00Z</dcterms:modified>
</cp:coreProperties>
</file>