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61" w:rsidRPr="00436B61" w:rsidRDefault="00436B61" w:rsidP="00436B61">
      <w:pPr>
        <w:shd w:val="clear" w:color="auto" w:fill="FFFFFF"/>
        <w:spacing w:after="0" w:line="420" w:lineRule="exact"/>
        <w:jc w:val="center"/>
        <w:outlineLvl w:val="0"/>
        <w:rPr>
          <w:rFonts w:ascii="Times New Roman" w:eastAsia="Times New Roman" w:hAnsi="Times New Roman" w:cs="Times New Roman"/>
          <w:b/>
          <w:color w:val="212529"/>
          <w:spacing w:val="2"/>
          <w:sz w:val="28"/>
          <w:szCs w:val="28"/>
        </w:rPr>
      </w:pPr>
      <w:r w:rsidRPr="00436B61">
        <w:rPr>
          <w:rFonts w:ascii="Times New Roman" w:eastAsia="Times New Roman" w:hAnsi="Times New Roman" w:cs="Times New Roman"/>
          <w:b/>
          <w:color w:val="212529"/>
          <w:spacing w:val="2"/>
          <w:sz w:val="28"/>
          <w:szCs w:val="28"/>
        </w:rPr>
        <w:t xml:space="preserve">NHỮNG ĐIỂM MỚI VỀ THUẾ SUẤT VÀ THU NHẬP ĐƯỢC MIỄN </w:t>
      </w:r>
    </w:p>
    <w:p w:rsidR="00436B61" w:rsidRDefault="00436B61" w:rsidP="00436B61">
      <w:pPr>
        <w:shd w:val="clear" w:color="auto" w:fill="FFFFFF"/>
        <w:spacing w:after="0" w:line="420" w:lineRule="exact"/>
        <w:jc w:val="center"/>
        <w:outlineLvl w:val="0"/>
        <w:rPr>
          <w:rFonts w:ascii="Times New Roman" w:eastAsia="Times New Roman" w:hAnsi="Times New Roman" w:cs="Times New Roman"/>
          <w:b/>
          <w:color w:val="212529"/>
          <w:spacing w:val="2"/>
          <w:sz w:val="28"/>
          <w:szCs w:val="28"/>
        </w:rPr>
      </w:pPr>
      <w:r w:rsidRPr="00436B61">
        <w:rPr>
          <w:rFonts w:ascii="Times New Roman" w:eastAsia="Times New Roman" w:hAnsi="Times New Roman" w:cs="Times New Roman"/>
          <w:b/>
          <w:color w:val="212529"/>
          <w:spacing w:val="2"/>
          <w:sz w:val="28"/>
          <w:szCs w:val="28"/>
        </w:rPr>
        <w:t>THUẾ THU NHẬP DOANH NGHIỆP</w:t>
      </w:r>
    </w:p>
    <w:p w:rsidR="00436B61" w:rsidRPr="00436B61" w:rsidRDefault="00436B61" w:rsidP="00436B61">
      <w:pPr>
        <w:shd w:val="clear" w:color="auto" w:fill="FFFFFF"/>
        <w:spacing w:after="0" w:line="420" w:lineRule="exact"/>
        <w:jc w:val="center"/>
        <w:outlineLvl w:val="0"/>
        <w:rPr>
          <w:rFonts w:ascii="Times New Roman" w:eastAsia="Times New Roman" w:hAnsi="Times New Roman" w:cs="Times New Roman"/>
          <w:b/>
          <w:color w:val="212529"/>
          <w:spacing w:val="2"/>
          <w:sz w:val="28"/>
          <w:szCs w:val="28"/>
        </w:rPr>
      </w:pPr>
    </w:p>
    <w:p w:rsidR="00436B61" w:rsidRPr="00436B61" w:rsidRDefault="00436B61" w:rsidP="00436B61">
      <w:pPr>
        <w:pStyle w:val="Heading2"/>
        <w:shd w:val="clear" w:color="auto" w:fill="FFFFFF"/>
        <w:spacing w:before="0" w:beforeAutospacing="0" w:after="0" w:afterAutospacing="0" w:line="420" w:lineRule="exact"/>
        <w:jc w:val="both"/>
        <w:rPr>
          <w:sz w:val="26"/>
          <w:szCs w:val="26"/>
        </w:rPr>
      </w:pPr>
      <w:r w:rsidRPr="00436B61">
        <w:rPr>
          <w:rStyle w:val="Strong"/>
          <w:b/>
          <w:bCs/>
          <w:sz w:val="26"/>
          <w:szCs w:val="26"/>
        </w:rPr>
        <w:t xml:space="preserve">1. </w:t>
      </w:r>
      <w:proofErr w:type="spellStart"/>
      <w:r w:rsidRPr="00436B61">
        <w:rPr>
          <w:rStyle w:val="Strong"/>
          <w:b/>
          <w:bCs/>
          <w:sz w:val="26"/>
          <w:szCs w:val="26"/>
        </w:rPr>
        <w:t>Thuế</w:t>
      </w:r>
      <w:proofErr w:type="spellEnd"/>
      <w:r w:rsidRPr="00436B61">
        <w:rPr>
          <w:rStyle w:val="Strong"/>
          <w:b/>
          <w:bCs/>
          <w:sz w:val="26"/>
          <w:szCs w:val="26"/>
        </w:rPr>
        <w:t xml:space="preserve"> </w:t>
      </w:r>
      <w:proofErr w:type="spellStart"/>
      <w:proofErr w:type="gramStart"/>
      <w:r w:rsidRPr="00436B61">
        <w:rPr>
          <w:rStyle w:val="Strong"/>
          <w:b/>
          <w:bCs/>
          <w:sz w:val="26"/>
          <w:szCs w:val="26"/>
        </w:rPr>
        <w:t>thu</w:t>
      </w:r>
      <w:proofErr w:type="spellEnd"/>
      <w:proofErr w:type="gramEnd"/>
      <w:r w:rsidRPr="00436B61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36B61">
        <w:rPr>
          <w:rStyle w:val="Strong"/>
          <w:b/>
          <w:bCs/>
          <w:sz w:val="26"/>
          <w:szCs w:val="26"/>
        </w:rPr>
        <w:t>nhập</w:t>
      </w:r>
      <w:proofErr w:type="spellEnd"/>
      <w:r w:rsidRPr="00436B61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36B61">
        <w:rPr>
          <w:rStyle w:val="Strong"/>
          <w:b/>
          <w:bCs/>
          <w:sz w:val="26"/>
          <w:szCs w:val="26"/>
        </w:rPr>
        <w:t>doanh</w:t>
      </w:r>
      <w:proofErr w:type="spellEnd"/>
      <w:r w:rsidRPr="00436B61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36B61">
        <w:rPr>
          <w:rStyle w:val="Strong"/>
          <w:b/>
          <w:bCs/>
          <w:sz w:val="26"/>
          <w:szCs w:val="26"/>
        </w:rPr>
        <w:t>nghiệp</w:t>
      </w:r>
      <w:proofErr w:type="spellEnd"/>
      <w:r w:rsidRPr="00436B61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36B61">
        <w:rPr>
          <w:rStyle w:val="Strong"/>
          <w:b/>
          <w:bCs/>
          <w:sz w:val="26"/>
          <w:szCs w:val="26"/>
        </w:rPr>
        <w:t>là</w:t>
      </w:r>
      <w:proofErr w:type="spellEnd"/>
      <w:r w:rsidRPr="00436B61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36B61">
        <w:rPr>
          <w:rStyle w:val="Strong"/>
          <w:b/>
          <w:bCs/>
          <w:sz w:val="26"/>
          <w:szCs w:val="26"/>
        </w:rPr>
        <w:t>gì</w:t>
      </w:r>
      <w:proofErr w:type="spellEnd"/>
      <w:r w:rsidRPr="00436B61">
        <w:rPr>
          <w:rStyle w:val="Strong"/>
          <w:b/>
          <w:bCs/>
          <w:sz w:val="26"/>
          <w:szCs w:val="26"/>
        </w:rPr>
        <w:t>?</w:t>
      </w:r>
    </w:p>
    <w:p w:rsidR="00436B61" w:rsidRPr="00436B61" w:rsidRDefault="00436B61" w:rsidP="00436B61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jc w:val="both"/>
        <w:rPr>
          <w:color w:val="000000"/>
          <w:sz w:val="26"/>
          <w:szCs w:val="26"/>
        </w:rPr>
      </w:pP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36B61">
        <w:rPr>
          <w:color w:val="000000"/>
          <w:sz w:val="26"/>
          <w:szCs w:val="26"/>
        </w:rPr>
        <w:t>thu</w:t>
      </w:r>
      <w:proofErr w:type="spellEnd"/>
      <w:proofErr w:type="gram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doanh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nghiệp</w:t>
      </w:r>
      <w:proofErr w:type="spellEnd"/>
      <w:r w:rsidRPr="00436B61">
        <w:rPr>
          <w:color w:val="000000"/>
          <w:sz w:val="26"/>
          <w:szCs w:val="26"/>
        </w:rPr>
        <w:t xml:space="preserve"> (TNDN) </w:t>
      </w:r>
      <w:proofErr w:type="spellStart"/>
      <w:r w:rsidRPr="00436B61">
        <w:rPr>
          <w:color w:val="000000"/>
          <w:sz w:val="26"/>
          <w:szCs w:val="26"/>
        </w:rPr>
        <w:t>là</w:t>
      </w:r>
      <w:proofErr w:type="spellEnd"/>
      <w:r w:rsidRPr="00436B61">
        <w:rPr>
          <w:color w:val="000000"/>
          <w:sz w:val="26"/>
          <w:szCs w:val="26"/>
        </w:rPr>
        <w:t> </w:t>
      </w:r>
      <w:proofErr w:type="spellStart"/>
      <w:r w:rsidRPr="00436B61">
        <w:rPr>
          <w:rStyle w:val="Strong"/>
          <w:sz w:val="26"/>
          <w:szCs w:val="26"/>
        </w:rPr>
        <w:fldChar w:fldCharType="begin"/>
      </w:r>
      <w:r w:rsidRPr="00436B61">
        <w:rPr>
          <w:rStyle w:val="Strong"/>
          <w:sz w:val="26"/>
          <w:szCs w:val="26"/>
        </w:rPr>
        <w:instrText xml:space="preserve"> HYPERLINK "https://ebh.vn/tin-tuc/thue-la-gi" \t "_blank" </w:instrText>
      </w:r>
      <w:r w:rsidRPr="00436B61">
        <w:rPr>
          <w:rStyle w:val="Strong"/>
          <w:sz w:val="26"/>
          <w:szCs w:val="26"/>
        </w:rPr>
        <w:fldChar w:fldCharType="separate"/>
      </w:r>
      <w:r w:rsidRPr="00436B61">
        <w:rPr>
          <w:rStyle w:val="Hyperlink"/>
          <w:b/>
          <w:bCs/>
          <w:color w:val="auto"/>
          <w:sz w:val="26"/>
          <w:szCs w:val="26"/>
        </w:rPr>
        <w:t>một</w:t>
      </w:r>
      <w:proofErr w:type="spellEnd"/>
      <w:r w:rsidRPr="00436B61">
        <w:rPr>
          <w:rStyle w:val="Hyperlink"/>
          <w:b/>
          <w:bCs/>
          <w:color w:val="auto"/>
          <w:sz w:val="26"/>
          <w:szCs w:val="26"/>
        </w:rPr>
        <w:t xml:space="preserve"> </w:t>
      </w:r>
      <w:proofErr w:type="spellStart"/>
      <w:r w:rsidRPr="00436B61">
        <w:rPr>
          <w:rStyle w:val="Hyperlink"/>
          <w:b/>
          <w:bCs/>
          <w:color w:val="auto"/>
          <w:sz w:val="26"/>
          <w:szCs w:val="26"/>
        </w:rPr>
        <w:t>loại</w:t>
      </w:r>
      <w:proofErr w:type="spellEnd"/>
      <w:r w:rsidRPr="00436B61">
        <w:rPr>
          <w:rStyle w:val="Hyperlink"/>
          <w:b/>
          <w:bCs/>
          <w:color w:val="auto"/>
          <w:sz w:val="26"/>
          <w:szCs w:val="26"/>
        </w:rPr>
        <w:t xml:space="preserve"> </w:t>
      </w:r>
      <w:proofErr w:type="spellStart"/>
      <w:r w:rsidRPr="00436B61">
        <w:rPr>
          <w:rStyle w:val="Hyperlink"/>
          <w:b/>
          <w:bCs/>
          <w:color w:val="auto"/>
          <w:sz w:val="26"/>
          <w:szCs w:val="26"/>
        </w:rPr>
        <w:t>thuế</w:t>
      </w:r>
      <w:proofErr w:type="spellEnd"/>
      <w:r w:rsidRPr="00436B61">
        <w:rPr>
          <w:rStyle w:val="Strong"/>
          <w:sz w:val="26"/>
          <w:szCs w:val="26"/>
        </w:rPr>
        <w:fldChar w:fldCharType="end"/>
      </w:r>
      <w:r w:rsidRPr="00436B61">
        <w:rPr>
          <w:sz w:val="26"/>
          <w:szCs w:val="26"/>
        </w:rPr>
        <w:t> </w:t>
      </w:r>
      <w:proofErr w:type="spellStart"/>
      <w:r w:rsidRPr="00436B61">
        <w:rPr>
          <w:color w:val="000000"/>
          <w:sz w:val="26"/>
          <w:szCs w:val="26"/>
        </w:rPr>
        <w:t>trực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đánh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trực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tiếp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vào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khoản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doanh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nghiệp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phải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chịu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>. </w:t>
      </w: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TNDN </w:t>
      </w:r>
      <w:proofErr w:type="spellStart"/>
      <w:r w:rsidRPr="00436B61">
        <w:rPr>
          <w:color w:val="000000"/>
          <w:sz w:val="26"/>
          <w:szCs w:val="26"/>
        </w:rPr>
        <w:t>bao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gồm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khoản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36B61">
        <w:rPr>
          <w:color w:val="000000"/>
          <w:sz w:val="26"/>
          <w:szCs w:val="26"/>
        </w:rPr>
        <w:t>thu</w:t>
      </w:r>
      <w:proofErr w:type="spellEnd"/>
      <w:proofErr w:type="gram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của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doanh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nghiệp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từ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hoạt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động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sản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xuất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kinh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doanh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hàng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hoá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dịch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vụ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và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loại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theo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quy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định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của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pháp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luật</w:t>
      </w:r>
      <w:proofErr w:type="spellEnd"/>
      <w:r w:rsidRPr="00436B61">
        <w:rPr>
          <w:color w:val="000000"/>
          <w:sz w:val="26"/>
          <w:szCs w:val="26"/>
        </w:rPr>
        <w:t>.</w:t>
      </w:r>
    </w:p>
    <w:p w:rsidR="00436B61" w:rsidRPr="00436B61" w:rsidRDefault="00436B61" w:rsidP="00436B61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jc w:val="both"/>
        <w:rPr>
          <w:color w:val="000000"/>
          <w:sz w:val="26"/>
          <w:szCs w:val="26"/>
        </w:rPr>
      </w:pP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TNDN </w:t>
      </w:r>
      <w:proofErr w:type="spellStart"/>
      <w:r w:rsidRPr="00436B61">
        <w:rPr>
          <w:color w:val="000000"/>
          <w:sz w:val="26"/>
          <w:szCs w:val="26"/>
        </w:rPr>
        <w:t>được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tính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trên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phần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36B61">
        <w:rPr>
          <w:color w:val="000000"/>
          <w:sz w:val="26"/>
          <w:szCs w:val="26"/>
        </w:rPr>
        <w:t>thu</w:t>
      </w:r>
      <w:proofErr w:type="spellEnd"/>
      <w:proofErr w:type="gram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chịu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của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doanh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nghiệp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sau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đã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trừ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khoản</w:t>
      </w:r>
      <w:proofErr w:type="spellEnd"/>
      <w:r w:rsidRPr="00436B61">
        <w:rPr>
          <w:color w:val="000000"/>
          <w:sz w:val="26"/>
          <w:szCs w:val="26"/>
        </w:rPr>
        <w:t xml:space="preserve"> chi </w:t>
      </w:r>
      <w:proofErr w:type="spellStart"/>
      <w:r w:rsidRPr="00436B61">
        <w:rPr>
          <w:color w:val="000000"/>
          <w:sz w:val="26"/>
          <w:szCs w:val="26"/>
        </w:rPr>
        <w:t>phí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hợp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lý</w:t>
      </w:r>
      <w:proofErr w:type="spellEnd"/>
      <w:r w:rsidRPr="00436B61">
        <w:rPr>
          <w:color w:val="000000"/>
          <w:sz w:val="26"/>
          <w:szCs w:val="26"/>
        </w:rPr>
        <w:t>.</w:t>
      </w:r>
    </w:p>
    <w:p w:rsidR="00436B61" w:rsidRPr="00436B61" w:rsidRDefault="00436B61" w:rsidP="00436B61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jc w:val="both"/>
        <w:rPr>
          <w:color w:val="000000"/>
          <w:sz w:val="26"/>
          <w:szCs w:val="26"/>
        </w:rPr>
      </w:pP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436B61">
        <w:rPr>
          <w:color w:val="000000"/>
          <w:sz w:val="26"/>
          <w:szCs w:val="26"/>
        </w:rPr>
        <w:t>thu</w:t>
      </w:r>
      <w:proofErr w:type="spellEnd"/>
      <w:proofErr w:type="gram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doanh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nghiệp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là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một</w:t>
      </w:r>
      <w:proofErr w:type="spellEnd"/>
      <w:r w:rsidRPr="00436B61">
        <w:rPr>
          <w:color w:val="000000"/>
          <w:sz w:val="26"/>
          <w:szCs w:val="26"/>
        </w:rPr>
        <w:t> </w:t>
      </w:r>
      <w:proofErr w:type="spellStart"/>
      <w:r w:rsidRPr="00436B61">
        <w:rPr>
          <w:color w:val="000000"/>
          <w:sz w:val="26"/>
          <w:szCs w:val="26"/>
        </w:rPr>
        <w:t>nguồn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quan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trọng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của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ngân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sách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nhà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nước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giúp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nhà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nước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có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nguồn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vốn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để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đầu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tư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vào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lĩnh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vực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quan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trọng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như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giáo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dục</w:t>
      </w:r>
      <w:proofErr w:type="spellEnd"/>
      <w:r w:rsidRPr="00436B61">
        <w:rPr>
          <w:color w:val="000000"/>
          <w:sz w:val="26"/>
          <w:szCs w:val="26"/>
        </w:rPr>
        <w:t xml:space="preserve">, y </w:t>
      </w:r>
      <w:proofErr w:type="spellStart"/>
      <w:r w:rsidRPr="00436B61">
        <w:rPr>
          <w:color w:val="000000"/>
          <w:sz w:val="26"/>
          <w:szCs w:val="26"/>
        </w:rPr>
        <w:t>tế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giao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thông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bảo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vệ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môi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trường</w:t>
      </w:r>
      <w:proofErr w:type="spellEnd"/>
      <w:r w:rsidRPr="00436B61">
        <w:rPr>
          <w:color w:val="000000"/>
          <w:sz w:val="26"/>
          <w:szCs w:val="26"/>
        </w:rPr>
        <w:t>...</w:t>
      </w:r>
    </w:p>
    <w:p w:rsidR="00436B61" w:rsidRPr="00436B61" w:rsidRDefault="00436B61" w:rsidP="00436B61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TNDN </w:t>
      </w:r>
      <w:proofErr w:type="spellStart"/>
      <w:r w:rsidRPr="00436B61">
        <w:rPr>
          <w:color w:val="000000"/>
          <w:sz w:val="26"/>
          <w:szCs w:val="26"/>
        </w:rPr>
        <w:t>là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công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cụ</w:t>
      </w:r>
      <w:proofErr w:type="spellEnd"/>
      <w:r w:rsidRPr="00436B61">
        <w:rPr>
          <w:color w:val="000000"/>
          <w:sz w:val="26"/>
          <w:szCs w:val="26"/>
        </w:rPr>
        <w:t> </w:t>
      </w:r>
      <w:proofErr w:type="spellStart"/>
      <w:r w:rsidRPr="00436B61">
        <w:rPr>
          <w:color w:val="000000"/>
          <w:sz w:val="26"/>
          <w:szCs w:val="26"/>
        </w:rPr>
        <w:t>để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điều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chỉnh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sự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phân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bổ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hiệu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quả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của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nguồn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lực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trong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nền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kinh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tế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thúc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đẩy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hoặc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ngăn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chặn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sự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phát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triển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của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một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số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ngành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hàng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hoặc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một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số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loại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hàng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hoá</w:t>
      </w:r>
      <w:proofErr w:type="spellEnd"/>
      <w:r w:rsidRPr="00436B61">
        <w:rPr>
          <w:color w:val="000000"/>
          <w:sz w:val="26"/>
          <w:szCs w:val="26"/>
        </w:rPr>
        <w:t>.</w:t>
      </w:r>
      <w:proofErr w:type="gram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Đây</w:t>
      </w:r>
      <w:proofErr w:type="spellEnd"/>
      <w:r w:rsidRPr="00436B61">
        <w:rPr>
          <w:color w:val="000000"/>
          <w:sz w:val="26"/>
          <w:szCs w:val="26"/>
        </w:rPr>
        <w:t> </w:t>
      </w:r>
      <w:proofErr w:type="spellStart"/>
      <w:r w:rsidRPr="00436B61">
        <w:rPr>
          <w:color w:val="000000"/>
          <w:sz w:val="26"/>
          <w:szCs w:val="26"/>
        </w:rPr>
        <w:t>cũng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là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công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cụ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để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điều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chỉnh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phân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phối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lại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xã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hội</w:t>
      </w:r>
      <w:proofErr w:type="spellEnd"/>
      <w:r w:rsidRPr="00436B61">
        <w:rPr>
          <w:color w:val="000000"/>
          <w:sz w:val="26"/>
          <w:szCs w:val="26"/>
        </w:rPr>
        <w:t xml:space="preserve">, </w:t>
      </w:r>
      <w:proofErr w:type="spellStart"/>
      <w:r w:rsidRPr="00436B61">
        <w:rPr>
          <w:color w:val="000000"/>
          <w:sz w:val="26"/>
          <w:szCs w:val="26"/>
        </w:rPr>
        <w:t>giúp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giảm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bớt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khoảng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giàu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nghèo</w:t>
      </w:r>
      <w:proofErr w:type="spellEnd"/>
      <w:r w:rsidRPr="00436B61">
        <w:rPr>
          <w:color w:val="000000"/>
          <w:sz w:val="26"/>
          <w:szCs w:val="26"/>
        </w:rPr>
        <w:t> </w:t>
      </w:r>
      <w:proofErr w:type="spellStart"/>
      <w:r w:rsidRPr="00436B61">
        <w:rPr>
          <w:color w:val="000000"/>
          <w:sz w:val="26"/>
          <w:szCs w:val="26"/>
        </w:rPr>
        <w:t>bằng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áp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dụng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loại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có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tính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chất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tiến</w:t>
      </w:r>
      <w:proofErr w:type="spellEnd"/>
      <w:r w:rsidRPr="00436B61">
        <w:rPr>
          <w:color w:val="000000"/>
          <w:sz w:val="26"/>
          <w:szCs w:val="26"/>
        </w:rPr>
        <w:t xml:space="preserve"> (</w:t>
      </w:r>
      <w:proofErr w:type="spellStart"/>
      <w:r w:rsidRPr="00436B61">
        <w:rPr>
          <w:color w:val="000000"/>
          <w:sz w:val="26"/>
          <w:szCs w:val="26"/>
        </w:rPr>
        <w:t>thu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cao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đóng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góp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tỷ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lệ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cao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hơn</w:t>
      </w:r>
      <w:proofErr w:type="spellEnd"/>
      <w:r w:rsidRPr="00436B61">
        <w:rPr>
          <w:color w:val="000000"/>
          <w:sz w:val="26"/>
          <w:szCs w:val="26"/>
        </w:rPr>
        <w:t xml:space="preserve">) </w:t>
      </w:r>
      <w:proofErr w:type="spellStart"/>
      <w:r w:rsidRPr="00436B61">
        <w:rPr>
          <w:color w:val="000000"/>
          <w:sz w:val="26"/>
          <w:szCs w:val="26"/>
        </w:rPr>
        <w:t>hoặc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loại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miễn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giảm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cho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các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đối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tượng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nộp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thuế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có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thu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nhập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thấp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hoặc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gặp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khó</w:t>
      </w:r>
      <w:proofErr w:type="spellEnd"/>
      <w:r w:rsidRPr="00436B61">
        <w:rPr>
          <w:color w:val="000000"/>
          <w:sz w:val="26"/>
          <w:szCs w:val="26"/>
        </w:rPr>
        <w:t xml:space="preserve"> </w:t>
      </w:r>
      <w:proofErr w:type="spellStart"/>
      <w:r w:rsidRPr="00436B61">
        <w:rPr>
          <w:color w:val="000000"/>
          <w:sz w:val="26"/>
          <w:szCs w:val="26"/>
        </w:rPr>
        <w:t>khăn</w:t>
      </w:r>
      <w:proofErr w:type="spellEnd"/>
      <w:r w:rsidRPr="00436B61">
        <w:rPr>
          <w:color w:val="000000"/>
          <w:sz w:val="26"/>
          <w:szCs w:val="26"/>
        </w:rPr>
        <w:t>.</w:t>
      </w:r>
    </w:p>
    <w:p w:rsidR="00436B61" w:rsidRPr="00436B61" w:rsidRDefault="00436B61" w:rsidP="00436B61">
      <w:pPr>
        <w:shd w:val="clear" w:color="auto" w:fill="FFFFFF"/>
        <w:spacing w:after="0" w:line="420" w:lineRule="exact"/>
        <w:outlineLvl w:val="1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2</w:t>
      </w:r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.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Thay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đổi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về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suất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TNDN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ngày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01/7/2023</w:t>
      </w:r>
    </w:p>
    <w:p w:rsidR="00436B61" w:rsidRPr="00436B61" w:rsidRDefault="00436B61" w:rsidP="00436B61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Hiện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nay,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suất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doanh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nghiệp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đối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với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động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tìm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kiếm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thăm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dò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khai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khí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tài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nguyên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quý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hiếm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Việt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Nam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32%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đến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50%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phù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với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dự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án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kinh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doanh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.</w:t>
      </w:r>
    </w:p>
    <w:p w:rsidR="00436B61" w:rsidRPr="00436B61" w:rsidRDefault="00436B61" w:rsidP="00436B61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ngày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01/7/2023,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định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nêu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trên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thay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đổi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: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suất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doanh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nghiệp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đối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với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động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khí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25%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đến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50%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phù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với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đồng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khí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;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suất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doanh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nghiệp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đối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với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động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tìm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kiếm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thăm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dò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khai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tài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nguyên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quý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hiếm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Việt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Nam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32%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đến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50%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phù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với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dự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án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kinh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doanh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.</w:t>
      </w:r>
    </w:p>
    <w:p w:rsidR="00436B61" w:rsidRPr="00436B61" w:rsidRDefault="00436B61" w:rsidP="00436B61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proofErr w:type="spellStart"/>
      <w:proofErr w:type="gram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dung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này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đề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khoản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1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Điều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67 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begin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instrText xml:space="preserve"> HYPERLINK "https://thuvienphapluat.vn/van-ban/Tai-nguyen-Moi-truong/Luat-Dau-khi-2022-505749.aspx?anchor=dieu_67" \t "_blank" </w:instrText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separate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Luật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Dầu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khí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2022</w:t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end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t> </w:t>
      </w:r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(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bắt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có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hiệu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ngày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01/7/2023).</w:t>
      </w:r>
      <w:proofErr w:type="gramEnd"/>
    </w:p>
    <w:p w:rsidR="00436B61" w:rsidRPr="00436B61" w:rsidRDefault="00436B61" w:rsidP="00436B61">
      <w:pPr>
        <w:shd w:val="clear" w:color="auto" w:fill="FFFFFF"/>
        <w:spacing w:after="0" w:line="420" w:lineRule="exact"/>
        <w:outlineLvl w:val="1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lastRenderedPageBreak/>
        <w:t>3</w:t>
      </w:r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. Thu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miễn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TNDN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>ngày</w:t>
      </w:r>
      <w:proofErr w:type="spellEnd"/>
      <w:r w:rsidRPr="00436B61">
        <w:rPr>
          <w:rFonts w:ascii="Times New Roman" w:eastAsia="Times New Roman" w:hAnsi="Times New Roman" w:cs="Times New Roman"/>
          <w:b/>
          <w:bCs/>
          <w:color w:val="212529"/>
          <w:spacing w:val="2"/>
          <w:sz w:val="26"/>
          <w:szCs w:val="26"/>
        </w:rPr>
        <w:t xml:space="preserve"> 01/01/2024</w:t>
      </w:r>
    </w:p>
    <w:p w:rsidR="00436B61" w:rsidRPr="00436B61" w:rsidRDefault="00436B61" w:rsidP="00436B61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Hiện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nay,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phần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không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chia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hiện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trong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giáo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dục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-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đào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y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lại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tư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triển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đó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theo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định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luật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chuyên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về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giáo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dục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-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đào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y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;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phần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hình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tài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sản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không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chia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động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theo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định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 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begin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instrText xml:space="preserve"> HYPERLINK "https://thuvienphapluat.vn/van-ban/Doanh-nghiep/Luat-hop-tac-xa-2012-23-2012-QH13-152716.aspx" \t "_blank" </w:instrText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separate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Luật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tác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end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t> 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sẽ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miễn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TNDN.</w:t>
      </w:r>
    </w:p>
    <w:p w:rsidR="00436B61" w:rsidRPr="00436B61" w:rsidRDefault="00436B61" w:rsidP="00436B61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</w:t>
      </w:r>
      <w:bookmarkStart w:id="0" w:name="_GoBack"/>
      <w:bookmarkEnd w:id="0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ày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01/01/2024,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định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nêu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trên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thay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đổi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: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Phần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không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chia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chữa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lại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tư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triển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chữa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đó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;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phần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không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chia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y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hiện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hóa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nhưng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không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phải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khám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chữa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phần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không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chia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hiện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hóa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trong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giáo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dục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-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đào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hóa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lại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tư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triển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cơ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sở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đó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theo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định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luật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chuyên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về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giáo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dục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-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đào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, y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lĩnh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hóa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;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phần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nhập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hình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tài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sản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không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chia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tác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và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hoạt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động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theo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quy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định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của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 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fldChar w:fldCharType="begin"/>
      </w:r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instrText xml:space="preserve"> HYPERLINK "https://thuvienphapluat.vn/van-ban/Doanh-nghiep/Luat-hop-tac-xa-2012-23-2012-QH13-152716.aspx" \t "_blank" </w:instrText>
      </w:r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fldChar w:fldCharType="separate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Luật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Hợp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tác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xã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fldChar w:fldCharType="end"/>
      </w:r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 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miễn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thuế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TNDN.</w:t>
      </w:r>
    </w:p>
    <w:p w:rsidR="00436B61" w:rsidRPr="00436B61" w:rsidRDefault="00436B61" w:rsidP="00436B61">
      <w:pPr>
        <w:shd w:val="clear" w:color="auto" w:fill="FFFFFF"/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</w:pPr>
      <w:proofErr w:type="spellStart"/>
      <w:proofErr w:type="gram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Nội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dung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này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được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đề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cập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tại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khoản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1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Điều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119 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begin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instrText xml:space="preserve"> HYPERLINK "https://thuvienphapluat.vn/van-ban/The-thao-Y-te/Luat-15-2023-QH15-kham-benh-chua-benh-372143.aspx?anchor=dieu_119" \t "_blank" </w:instrText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separate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Luật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khám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,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chữa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bệnh</w:t>
      </w:r>
      <w:proofErr w:type="spellEnd"/>
      <w:r w:rsidRPr="00436B61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2023</w:t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fldChar w:fldCharType="end"/>
      </w:r>
      <w:r w:rsidRPr="00436B61">
        <w:rPr>
          <w:rFonts w:ascii="Times New Roman" w:eastAsia="Times New Roman" w:hAnsi="Times New Roman" w:cs="Times New Roman"/>
          <w:spacing w:val="2"/>
          <w:sz w:val="26"/>
          <w:szCs w:val="26"/>
        </w:rPr>
        <w:t> </w:t>
      </w:r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(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bắt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đầu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có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hiệu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lực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thi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hành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kể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từ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</w:t>
      </w:r>
      <w:proofErr w:type="spellStart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>ngày</w:t>
      </w:r>
      <w:proofErr w:type="spellEnd"/>
      <w:r w:rsidRPr="00436B61">
        <w:rPr>
          <w:rFonts w:ascii="Times New Roman" w:eastAsia="Times New Roman" w:hAnsi="Times New Roman" w:cs="Times New Roman"/>
          <w:color w:val="212529"/>
          <w:spacing w:val="2"/>
          <w:sz w:val="26"/>
          <w:szCs w:val="26"/>
        </w:rPr>
        <w:t xml:space="preserve"> 01/01/2024).</w:t>
      </w:r>
      <w:proofErr w:type="gramEnd"/>
    </w:p>
    <w:p w:rsidR="00436B61" w:rsidRPr="00436B61" w:rsidRDefault="00436B61" w:rsidP="00436B61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</w:p>
    <w:sectPr w:rsidR="00436B61" w:rsidRPr="0043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67C4B"/>
    <w:multiLevelType w:val="multilevel"/>
    <w:tmpl w:val="578A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61"/>
    <w:rsid w:val="00436B61"/>
    <w:rsid w:val="005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6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6B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loat-right">
    <w:name w:val="float-right"/>
    <w:basedOn w:val="DefaultParagraphFont"/>
    <w:rsid w:val="00436B61"/>
  </w:style>
  <w:style w:type="paragraph" w:customStyle="1" w:styleId="pintro">
    <w:name w:val="pintro"/>
    <w:basedOn w:val="Normal"/>
    <w:rsid w:val="0043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6B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6B61"/>
    <w:rPr>
      <w:b/>
      <w:bCs/>
    </w:rPr>
  </w:style>
  <w:style w:type="character" w:styleId="Emphasis">
    <w:name w:val="Emphasis"/>
    <w:basedOn w:val="DefaultParagraphFont"/>
    <w:uiPriority w:val="20"/>
    <w:qFormat/>
    <w:rsid w:val="00436B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6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6B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loat-right">
    <w:name w:val="float-right"/>
    <w:basedOn w:val="DefaultParagraphFont"/>
    <w:rsid w:val="00436B61"/>
  </w:style>
  <w:style w:type="paragraph" w:customStyle="1" w:styleId="pintro">
    <w:name w:val="pintro"/>
    <w:basedOn w:val="Normal"/>
    <w:rsid w:val="0043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6B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6B61"/>
    <w:rPr>
      <w:b/>
      <w:bCs/>
    </w:rPr>
  </w:style>
  <w:style w:type="character" w:styleId="Emphasis">
    <w:name w:val="Emphasis"/>
    <w:basedOn w:val="DefaultParagraphFont"/>
    <w:uiPriority w:val="20"/>
    <w:qFormat/>
    <w:rsid w:val="00436B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5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2023-11-15T13:08:00Z</dcterms:created>
  <dcterms:modified xsi:type="dcterms:W3CDTF">2023-11-15T13:17:00Z</dcterms:modified>
</cp:coreProperties>
</file>