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029" w:rsidRDefault="00A24DEF">
      <w:pPr>
        <w:pStyle w:val="Title"/>
      </w:pPr>
      <w:bookmarkStart w:id="0" w:name="_GoBack"/>
      <w:bookmarkEnd w:id="0"/>
      <w:r>
        <w:t>Factors influencing brand citizenship behavior of hotel employees in Danang, Vietnam</w:t>
      </w:r>
    </w:p>
    <w:p w:rsidR="00BF4029" w:rsidRDefault="00A24DEF">
      <w:pPr>
        <w:pStyle w:val="BodyText"/>
        <w:spacing w:before="278"/>
        <w:ind w:left="3177" w:right="3152" w:hanging="38"/>
        <w:jc w:val="center"/>
      </w:pPr>
      <w:r>
        <w:t>Trinh Le Tan * International School</w:t>
      </w:r>
    </w:p>
    <w:p w:rsidR="00BF4029" w:rsidRDefault="00A24DEF">
      <w:pPr>
        <w:pStyle w:val="BodyText"/>
        <w:spacing w:before="1"/>
        <w:ind w:left="2144" w:right="2158"/>
        <w:jc w:val="center"/>
        <w:rPr>
          <w:i/>
        </w:rPr>
      </w:pPr>
      <w:r>
        <w:t>Duy Tan University, Danang city 550000 Danang, Vietnam</w:t>
      </w:r>
      <w:r>
        <w:rPr>
          <w:i/>
          <w:vertAlign w:val="superscript"/>
        </w:rPr>
        <w:t>.</w:t>
      </w:r>
    </w:p>
    <w:p w:rsidR="00BF4029" w:rsidRDefault="00A24DEF">
      <w:pPr>
        <w:pStyle w:val="BodyText"/>
        <w:spacing w:line="249" w:lineRule="exact"/>
        <w:ind w:left="278" w:right="292"/>
        <w:jc w:val="center"/>
      </w:pPr>
      <w:r>
        <w:t>Email</w:t>
      </w:r>
      <w:r>
        <w:rPr>
          <w:b/>
        </w:rPr>
        <w:t xml:space="preserve">: </w:t>
      </w:r>
      <w:hyperlink r:id="rId7">
        <w:r>
          <w:t>letandtu@gmail.com</w:t>
        </w:r>
      </w:hyperlink>
    </w:p>
    <w:p w:rsidR="00BF4029" w:rsidRDefault="00BF4029">
      <w:pPr>
        <w:pStyle w:val="BodyText"/>
        <w:spacing w:before="3"/>
      </w:pPr>
    </w:p>
    <w:p w:rsidR="00BF4029" w:rsidRDefault="00A24DEF">
      <w:pPr>
        <w:pStyle w:val="BodyText"/>
        <w:ind w:left="3098" w:right="3073" w:hanging="39"/>
        <w:jc w:val="center"/>
      </w:pPr>
      <w:r>
        <w:t>Dao Thi Dai Trang Faculty of Accounting</w:t>
      </w:r>
    </w:p>
    <w:p w:rsidR="00BF4029" w:rsidRDefault="00A24DEF">
      <w:pPr>
        <w:pStyle w:val="BodyText"/>
        <w:ind w:left="2144" w:right="2158"/>
        <w:jc w:val="center"/>
        <w:rPr>
          <w:i/>
        </w:rPr>
      </w:pPr>
      <w:r>
        <w:t>Duy Tan University, Danang city 550000 Danang, Vietnam</w:t>
      </w:r>
      <w:r>
        <w:rPr>
          <w:i/>
          <w:vertAlign w:val="superscript"/>
        </w:rPr>
        <w:t>.</w:t>
      </w:r>
    </w:p>
    <w:p w:rsidR="00BF4029" w:rsidRDefault="00BF4029">
      <w:pPr>
        <w:pStyle w:val="BodyText"/>
        <w:spacing w:before="1"/>
        <w:rPr>
          <w:i/>
        </w:rPr>
      </w:pPr>
    </w:p>
    <w:p w:rsidR="00BF4029" w:rsidRDefault="00A24DEF">
      <w:pPr>
        <w:ind w:left="104"/>
        <w:rPr>
          <w:sz w:val="16"/>
        </w:rPr>
      </w:pPr>
      <w:r>
        <w:rPr>
          <w:sz w:val="16"/>
        </w:rPr>
        <w:t>Corresponding Author*</w:t>
      </w:r>
    </w:p>
    <w:p w:rsidR="00BF4029" w:rsidRDefault="00A24DEF">
      <w:pPr>
        <w:spacing w:before="117"/>
        <w:ind w:left="104"/>
        <w:rPr>
          <w:b/>
          <w:sz w:val="20"/>
        </w:rPr>
      </w:pPr>
      <w:r>
        <w:rPr>
          <w:b/>
          <w:sz w:val="20"/>
        </w:rPr>
        <w:t>Abstract</w:t>
      </w:r>
    </w:p>
    <w:p w:rsidR="00BF4029" w:rsidRDefault="00A24DEF">
      <w:pPr>
        <w:spacing w:before="123"/>
        <w:ind w:left="104" w:right="119"/>
        <w:jc w:val="both"/>
        <w:rPr>
          <w:sz w:val="20"/>
        </w:rPr>
      </w:pPr>
      <w:r>
        <w:rPr>
          <w:sz w:val="20"/>
        </w:rPr>
        <w:t xml:space="preserve">This study developed a model depicting the mediating role of service climate on the relationships between leadership commitment </w:t>
      </w:r>
      <w:r>
        <w:rPr>
          <w:sz w:val="20"/>
        </w:rPr>
        <w:t>to service quality, service-oriented human resource practices and brand citizenship behavior, taking into account the competitive intensity in the tourist hotel industry. Data was collected from a sample of 287 hotel employees in Danang. The research findi</w:t>
      </w:r>
      <w:r>
        <w:rPr>
          <w:sz w:val="20"/>
        </w:rPr>
        <w:t>ngs support the proposed relationships between leadership commitment to service quality and service climate, as well as that between service-oriented human resource practices and service climate. The relationship between service-oriented human resource pra</w:t>
      </w:r>
      <w:r>
        <w:rPr>
          <w:sz w:val="20"/>
        </w:rPr>
        <w:t>ctices and service climate is negatively moderated by the</w:t>
      </w:r>
      <w:r>
        <w:rPr>
          <w:spacing w:val="-11"/>
          <w:sz w:val="20"/>
        </w:rPr>
        <w:t xml:space="preserve"> </w:t>
      </w:r>
      <w:r>
        <w:rPr>
          <w:sz w:val="20"/>
        </w:rPr>
        <w:t>competitive</w:t>
      </w:r>
      <w:r>
        <w:rPr>
          <w:spacing w:val="-10"/>
          <w:sz w:val="20"/>
        </w:rPr>
        <w:t xml:space="preserve"> </w:t>
      </w:r>
      <w:r>
        <w:rPr>
          <w:sz w:val="20"/>
        </w:rPr>
        <w:t>intensity</w:t>
      </w:r>
      <w:r>
        <w:rPr>
          <w:spacing w:val="-11"/>
          <w:sz w:val="20"/>
        </w:rPr>
        <w:t xml:space="preserve"> </w:t>
      </w:r>
      <w:r>
        <w:rPr>
          <w:sz w:val="20"/>
        </w:rPr>
        <w:t>in</w:t>
      </w:r>
      <w:r>
        <w:rPr>
          <w:spacing w:val="-9"/>
          <w:sz w:val="20"/>
        </w:rPr>
        <w:t xml:space="preserve"> </w:t>
      </w:r>
      <w:r>
        <w:rPr>
          <w:sz w:val="20"/>
        </w:rPr>
        <w:t>the</w:t>
      </w:r>
      <w:r>
        <w:rPr>
          <w:spacing w:val="-11"/>
          <w:sz w:val="20"/>
        </w:rPr>
        <w:t xml:space="preserve"> </w:t>
      </w:r>
      <w:r>
        <w:rPr>
          <w:sz w:val="20"/>
        </w:rPr>
        <w:t>tourist</w:t>
      </w:r>
      <w:r>
        <w:rPr>
          <w:spacing w:val="-10"/>
          <w:sz w:val="20"/>
        </w:rPr>
        <w:t xml:space="preserve"> </w:t>
      </w:r>
      <w:r>
        <w:rPr>
          <w:sz w:val="20"/>
        </w:rPr>
        <w:t>hotel</w:t>
      </w:r>
      <w:r>
        <w:rPr>
          <w:spacing w:val="-11"/>
          <w:sz w:val="20"/>
        </w:rPr>
        <w:t xml:space="preserve"> </w:t>
      </w:r>
      <w:r>
        <w:rPr>
          <w:sz w:val="20"/>
        </w:rPr>
        <w:t>industry.</w:t>
      </w:r>
      <w:r>
        <w:rPr>
          <w:spacing w:val="-9"/>
          <w:sz w:val="20"/>
        </w:rPr>
        <w:t xml:space="preserve"> </w:t>
      </w:r>
      <w:r>
        <w:rPr>
          <w:sz w:val="20"/>
        </w:rPr>
        <w:t>The</w:t>
      </w:r>
      <w:r>
        <w:rPr>
          <w:spacing w:val="-11"/>
          <w:sz w:val="20"/>
        </w:rPr>
        <w:t xml:space="preserve"> </w:t>
      </w:r>
      <w:r>
        <w:rPr>
          <w:sz w:val="20"/>
        </w:rPr>
        <w:t>findings</w:t>
      </w:r>
      <w:r>
        <w:rPr>
          <w:spacing w:val="-9"/>
          <w:sz w:val="20"/>
        </w:rPr>
        <w:t xml:space="preserve"> </w:t>
      </w:r>
      <w:r>
        <w:rPr>
          <w:sz w:val="20"/>
        </w:rPr>
        <w:t>further</w:t>
      </w:r>
      <w:r>
        <w:rPr>
          <w:spacing w:val="-10"/>
          <w:sz w:val="20"/>
        </w:rPr>
        <w:t xml:space="preserve"> </w:t>
      </w:r>
      <w:r>
        <w:rPr>
          <w:sz w:val="20"/>
        </w:rPr>
        <w:t>support</w:t>
      </w:r>
      <w:r>
        <w:rPr>
          <w:spacing w:val="-4"/>
          <w:sz w:val="20"/>
        </w:rPr>
        <w:t xml:space="preserve"> </w:t>
      </w:r>
      <w:r>
        <w:rPr>
          <w:sz w:val="20"/>
        </w:rPr>
        <w:t>that</w:t>
      </w:r>
      <w:r>
        <w:rPr>
          <w:spacing w:val="-10"/>
          <w:sz w:val="20"/>
        </w:rPr>
        <w:t xml:space="preserve"> </w:t>
      </w:r>
      <w:r>
        <w:rPr>
          <w:sz w:val="20"/>
        </w:rPr>
        <w:t>service climate fully mediates the relationships between the organizational antecedents and brand citizenship b</w:t>
      </w:r>
      <w:r>
        <w:rPr>
          <w:sz w:val="20"/>
        </w:rPr>
        <w:t>ehavior.</w:t>
      </w:r>
    </w:p>
    <w:p w:rsidR="00BF4029" w:rsidRDefault="00A24DEF">
      <w:pPr>
        <w:spacing w:before="120"/>
        <w:ind w:left="104" w:right="127"/>
        <w:jc w:val="both"/>
        <w:rPr>
          <w:sz w:val="20"/>
        </w:rPr>
      </w:pPr>
      <w:r>
        <w:rPr>
          <w:b/>
          <w:sz w:val="20"/>
        </w:rPr>
        <w:t xml:space="preserve">Keywords: </w:t>
      </w:r>
      <w:r>
        <w:rPr>
          <w:sz w:val="20"/>
        </w:rPr>
        <w:t>service climate, brand citizenship behavior, leadership commitment to service quality, service-oriented human resource practices.</w:t>
      </w:r>
    </w:p>
    <w:p w:rsidR="00BF4029" w:rsidRDefault="00BF4029">
      <w:pPr>
        <w:pStyle w:val="BodyText"/>
      </w:pPr>
    </w:p>
    <w:p w:rsidR="00BF4029" w:rsidRDefault="00A24DEF">
      <w:pPr>
        <w:pStyle w:val="Heading1"/>
        <w:spacing w:before="164"/>
        <w:jc w:val="left"/>
      </w:pPr>
      <w:r>
        <w:t>Introduction</w:t>
      </w:r>
    </w:p>
    <w:p w:rsidR="00BF4029" w:rsidRDefault="00A24DEF">
      <w:pPr>
        <w:pStyle w:val="BodyText"/>
        <w:spacing w:before="129"/>
        <w:ind w:left="104" w:right="117"/>
        <w:jc w:val="both"/>
      </w:pPr>
      <w:r>
        <w:t>The tourist hotel industry in the Asia Pacific has achieved significant growth over the</w:t>
      </w:r>
      <w:r>
        <w:rPr>
          <w:spacing w:val="-12"/>
        </w:rPr>
        <w:t xml:space="preserve"> </w:t>
      </w:r>
      <w:r>
        <w:t>last</w:t>
      </w:r>
      <w:r>
        <w:rPr>
          <w:spacing w:val="-11"/>
        </w:rPr>
        <w:t xml:space="preserve"> </w:t>
      </w:r>
      <w:r>
        <w:t>few</w:t>
      </w:r>
      <w:r>
        <w:rPr>
          <w:spacing w:val="-14"/>
        </w:rPr>
        <w:t xml:space="preserve"> </w:t>
      </w:r>
      <w:r>
        <w:t>decades.</w:t>
      </w:r>
      <w:r>
        <w:rPr>
          <w:spacing w:val="-14"/>
        </w:rPr>
        <w:t xml:space="preserve"> </w:t>
      </w:r>
      <w:r>
        <w:t>Tourist</w:t>
      </w:r>
      <w:r>
        <w:rPr>
          <w:spacing w:val="-12"/>
        </w:rPr>
        <w:t xml:space="preserve"> </w:t>
      </w:r>
      <w:r>
        <w:t>arrivals</w:t>
      </w:r>
      <w:r>
        <w:rPr>
          <w:spacing w:val="-10"/>
        </w:rPr>
        <w:t xml:space="preserve"> </w:t>
      </w:r>
      <w:r>
        <w:t>in</w:t>
      </w:r>
      <w:r>
        <w:rPr>
          <w:spacing w:val="-12"/>
        </w:rPr>
        <w:t xml:space="preserve"> </w:t>
      </w:r>
      <w:r>
        <w:t>the</w:t>
      </w:r>
      <w:r>
        <w:rPr>
          <w:spacing w:val="-11"/>
        </w:rPr>
        <w:t xml:space="preserve"> </w:t>
      </w:r>
      <w:r>
        <w:t>Asia</w:t>
      </w:r>
      <w:r>
        <w:rPr>
          <w:spacing w:val="-14"/>
        </w:rPr>
        <w:t xml:space="preserve"> </w:t>
      </w:r>
      <w:r>
        <w:t>Pacific</w:t>
      </w:r>
      <w:r>
        <w:rPr>
          <w:spacing w:val="-12"/>
        </w:rPr>
        <w:t xml:space="preserve"> </w:t>
      </w:r>
      <w:r>
        <w:t>increased</w:t>
      </w:r>
      <w:r>
        <w:rPr>
          <w:spacing w:val="-16"/>
        </w:rPr>
        <w:t xml:space="preserve"> </w:t>
      </w:r>
      <w:r>
        <w:t>from</w:t>
      </w:r>
      <w:r>
        <w:rPr>
          <w:spacing w:val="-9"/>
        </w:rPr>
        <w:t xml:space="preserve"> </w:t>
      </w:r>
      <w:r>
        <w:t>22.16</w:t>
      </w:r>
      <w:r>
        <w:rPr>
          <w:spacing w:val="-11"/>
        </w:rPr>
        <w:t xml:space="preserve"> </w:t>
      </w:r>
      <w:r>
        <w:t>million in 1980 to 216 million in 2010 and 248 million in 2013 (de Paula, 2012; World Tourism Organization, 2014). This has resulted in the establishment of several tourist</w:t>
      </w:r>
      <w:r>
        <w:rPr>
          <w:spacing w:val="-11"/>
        </w:rPr>
        <w:t xml:space="preserve"> </w:t>
      </w:r>
      <w:r>
        <w:t>hotels,</w:t>
      </w:r>
      <w:r>
        <w:rPr>
          <w:spacing w:val="-8"/>
        </w:rPr>
        <w:t xml:space="preserve"> </w:t>
      </w:r>
      <w:r>
        <w:t>leading</w:t>
      </w:r>
      <w:r>
        <w:rPr>
          <w:spacing w:val="-10"/>
        </w:rPr>
        <w:t xml:space="preserve"> </w:t>
      </w:r>
      <w:r>
        <w:t>to</w:t>
      </w:r>
      <w:r>
        <w:rPr>
          <w:spacing w:val="-11"/>
        </w:rPr>
        <w:t xml:space="preserve"> </w:t>
      </w:r>
      <w:r>
        <w:t>increasingly</w:t>
      </w:r>
      <w:r>
        <w:rPr>
          <w:spacing w:val="-11"/>
        </w:rPr>
        <w:t xml:space="preserve"> </w:t>
      </w:r>
      <w:r>
        <w:t>intense</w:t>
      </w:r>
      <w:r>
        <w:rPr>
          <w:spacing w:val="-10"/>
        </w:rPr>
        <w:t xml:space="preserve"> </w:t>
      </w:r>
      <w:r>
        <w:t>competition</w:t>
      </w:r>
      <w:r>
        <w:rPr>
          <w:spacing w:val="-9"/>
        </w:rPr>
        <w:t xml:space="preserve"> </w:t>
      </w:r>
      <w:r>
        <w:t>in</w:t>
      </w:r>
      <w:r>
        <w:rPr>
          <w:spacing w:val="-12"/>
        </w:rPr>
        <w:t xml:space="preserve"> </w:t>
      </w:r>
      <w:r>
        <w:t>the</w:t>
      </w:r>
      <w:r>
        <w:rPr>
          <w:spacing w:val="-12"/>
        </w:rPr>
        <w:t xml:space="preserve"> </w:t>
      </w:r>
      <w:r>
        <w:t>tourist</w:t>
      </w:r>
      <w:r>
        <w:rPr>
          <w:spacing w:val="-8"/>
        </w:rPr>
        <w:t xml:space="preserve"> </w:t>
      </w:r>
      <w:r>
        <w:t>hotel</w:t>
      </w:r>
      <w:r>
        <w:rPr>
          <w:spacing w:val="-11"/>
        </w:rPr>
        <w:t xml:space="preserve"> </w:t>
      </w:r>
      <w:r>
        <w:t>industry (Dhar,</w:t>
      </w:r>
      <w:r>
        <w:rPr>
          <w:spacing w:val="-10"/>
        </w:rPr>
        <w:t xml:space="preserve"> </w:t>
      </w:r>
      <w:r>
        <w:t>2015;</w:t>
      </w:r>
      <w:r>
        <w:rPr>
          <w:spacing w:val="-9"/>
        </w:rPr>
        <w:t xml:space="preserve"> </w:t>
      </w:r>
      <w:r>
        <w:t>Su</w:t>
      </w:r>
      <w:r>
        <w:rPr>
          <w:spacing w:val="-11"/>
        </w:rPr>
        <w:t xml:space="preserve"> </w:t>
      </w:r>
      <w:r>
        <w:t>&amp;</w:t>
      </w:r>
      <w:r>
        <w:rPr>
          <w:spacing w:val="-11"/>
        </w:rPr>
        <w:t xml:space="preserve"> </w:t>
      </w:r>
      <w:r>
        <w:t>Lin,</w:t>
      </w:r>
      <w:r>
        <w:rPr>
          <w:spacing w:val="-9"/>
        </w:rPr>
        <w:t xml:space="preserve"> </w:t>
      </w:r>
      <w:r>
        <w:t>2014).</w:t>
      </w:r>
      <w:r>
        <w:rPr>
          <w:spacing w:val="-11"/>
        </w:rPr>
        <w:t xml:space="preserve"> </w:t>
      </w:r>
      <w:r>
        <w:t>In</w:t>
      </w:r>
      <w:r>
        <w:rPr>
          <w:spacing w:val="-11"/>
        </w:rPr>
        <w:t xml:space="preserve"> </w:t>
      </w:r>
      <w:r>
        <w:t>this</w:t>
      </w:r>
      <w:r>
        <w:rPr>
          <w:spacing w:val="-10"/>
        </w:rPr>
        <w:t xml:space="preserve"> </w:t>
      </w:r>
      <w:r>
        <w:t>context,</w:t>
      </w:r>
      <w:r>
        <w:rPr>
          <w:spacing w:val="-9"/>
        </w:rPr>
        <w:t xml:space="preserve"> </w:t>
      </w:r>
      <w:r>
        <w:t>scholars</w:t>
      </w:r>
      <w:r>
        <w:rPr>
          <w:spacing w:val="-10"/>
        </w:rPr>
        <w:t xml:space="preserve"> </w:t>
      </w:r>
      <w:r>
        <w:t>(Chang,</w:t>
      </w:r>
      <w:r>
        <w:rPr>
          <w:spacing w:val="-9"/>
        </w:rPr>
        <w:t xml:space="preserve"> </w:t>
      </w:r>
      <w:r>
        <w:t>Chiang</w:t>
      </w:r>
      <w:r>
        <w:rPr>
          <w:spacing w:val="-9"/>
        </w:rPr>
        <w:t xml:space="preserve"> </w:t>
      </w:r>
      <w:r>
        <w:t>&amp;</w:t>
      </w:r>
      <w:r>
        <w:rPr>
          <w:spacing w:val="-11"/>
        </w:rPr>
        <w:t xml:space="preserve"> </w:t>
      </w:r>
      <w:r>
        <w:t>Han,</w:t>
      </w:r>
      <w:r>
        <w:rPr>
          <w:spacing w:val="-9"/>
        </w:rPr>
        <w:t xml:space="preserve"> </w:t>
      </w:r>
      <w:r>
        <w:t>2012; Xie, Peng &amp; Huan, 2014) have consistently emphasized the crucial role of brand citizenship behavio</w:t>
      </w:r>
      <w:r>
        <w:t>r (BCB) in the superior performance of tourist hotels. First introduced by Burmann and Zeplin (2005), BCB evolved from the original organizational citizenship behavior (OCB) concept, which refers to employees’ intention to exhibit extra-role behaviors. The</w:t>
      </w:r>
      <w:r>
        <w:t xml:space="preserve"> main differences between these two concepts are that (1) BCB focuses on brand-oriented behaviors that bring “a</w:t>
      </w:r>
      <w:r>
        <w:rPr>
          <w:spacing w:val="-3"/>
        </w:rPr>
        <w:t xml:space="preserve"> </w:t>
      </w:r>
      <w:r>
        <w:t>brand</w:t>
      </w:r>
    </w:p>
    <w:p w:rsidR="00BF4029" w:rsidRDefault="00BF4029">
      <w:pPr>
        <w:jc w:val="both"/>
        <w:sectPr w:rsidR="00BF4029">
          <w:headerReference w:type="default" r:id="rId8"/>
          <w:footerReference w:type="default" r:id="rId9"/>
          <w:type w:val="continuous"/>
          <w:pgSz w:w="9980" w:h="14180"/>
          <w:pgMar w:top="1240" w:right="840" w:bottom="1100" w:left="860" w:header="625" w:footer="911" w:gutter="0"/>
          <w:pgNumType w:start="1"/>
          <w:cols w:space="720"/>
        </w:sectPr>
      </w:pPr>
    </w:p>
    <w:p w:rsidR="00BF4029" w:rsidRDefault="00A24DEF">
      <w:pPr>
        <w:pStyle w:val="BodyText"/>
        <w:spacing w:before="87"/>
        <w:ind w:left="104" w:right="118"/>
        <w:jc w:val="both"/>
      </w:pPr>
      <w:r>
        <w:lastRenderedPageBreak/>
        <w:t>to life” (Burmann &amp;</w:t>
      </w:r>
      <w:r>
        <w:t xml:space="preserve"> Zeplin, 2005: 282), and (2) while OCB is related to intra- organizational behaviors only, BCB goes beyond the scope of OCB as BCB also includes externally targeted behaviors that help to enhance the brand identity (Burmann &amp; Zeplin, 2005). Examples of int</w:t>
      </w:r>
      <w:r>
        <w:t>ra-organizational behavior include helping co-workers with work-related problems, organizational compliance (Burmann, Zeplin &amp; Riley, 2009). Externally targeted behaviors that only relate to BCB include considering the impact on the brand before communicat</w:t>
      </w:r>
      <w:r>
        <w:t>ing to customers, willingness to engage customers for the brand, willingness to clarify customers’ misunderstanding of the brand, willingness to recommend the brand to others (Baker et al., 2014; Burmann et al., 2009; Xie et al., 2014).</w:t>
      </w:r>
    </w:p>
    <w:p w:rsidR="00BF4029" w:rsidRDefault="00BF4029">
      <w:pPr>
        <w:pStyle w:val="BodyText"/>
        <w:spacing w:before="11"/>
        <w:rPr>
          <w:sz w:val="21"/>
        </w:rPr>
      </w:pPr>
    </w:p>
    <w:p w:rsidR="00BF4029" w:rsidRDefault="00A24DEF">
      <w:pPr>
        <w:pStyle w:val="BodyText"/>
        <w:ind w:left="104" w:right="116"/>
        <w:jc w:val="both"/>
      </w:pPr>
      <w:r>
        <w:t>Another</w:t>
      </w:r>
      <w:r>
        <w:rPr>
          <w:spacing w:val="-5"/>
        </w:rPr>
        <w:t xml:space="preserve"> </w:t>
      </w:r>
      <w:r>
        <w:t>concept</w:t>
      </w:r>
      <w:r>
        <w:rPr>
          <w:spacing w:val="-4"/>
        </w:rPr>
        <w:t xml:space="preserve"> </w:t>
      </w:r>
      <w:r>
        <w:t>that</w:t>
      </w:r>
      <w:r>
        <w:rPr>
          <w:spacing w:val="-4"/>
        </w:rPr>
        <w:t xml:space="preserve"> </w:t>
      </w:r>
      <w:r>
        <w:t>has</w:t>
      </w:r>
      <w:r>
        <w:rPr>
          <w:spacing w:val="-7"/>
        </w:rPr>
        <w:t xml:space="preserve"> </w:t>
      </w:r>
      <w:r>
        <w:t>gained</w:t>
      </w:r>
      <w:r>
        <w:rPr>
          <w:spacing w:val="-6"/>
        </w:rPr>
        <w:t xml:space="preserve"> </w:t>
      </w:r>
      <w:r>
        <w:t>much</w:t>
      </w:r>
      <w:r>
        <w:rPr>
          <w:spacing w:val="-6"/>
        </w:rPr>
        <w:t xml:space="preserve"> </w:t>
      </w:r>
      <w:r>
        <w:t>attention</w:t>
      </w:r>
      <w:r>
        <w:rPr>
          <w:spacing w:val="-6"/>
        </w:rPr>
        <w:t xml:space="preserve"> </w:t>
      </w:r>
      <w:r>
        <w:t>in</w:t>
      </w:r>
      <w:r>
        <w:rPr>
          <w:spacing w:val="-5"/>
        </w:rPr>
        <w:t xml:space="preserve"> </w:t>
      </w:r>
      <w:r>
        <w:t>the</w:t>
      </w:r>
      <w:r>
        <w:rPr>
          <w:spacing w:val="-6"/>
        </w:rPr>
        <w:t xml:space="preserve"> </w:t>
      </w:r>
      <w:r>
        <w:t>services</w:t>
      </w:r>
      <w:r>
        <w:rPr>
          <w:spacing w:val="-4"/>
        </w:rPr>
        <w:t xml:space="preserve"> </w:t>
      </w:r>
      <w:r>
        <w:t>marketing</w:t>
      </w:r>
      <w:r>
        <w:rPr>
          <w:spacing w:val="-3"/>
        </w:rPr>
        <w:t xml:space="preserve"> </w:t>
      </w:r>
      <w:r>
        <w:t>literature is service climate which emphasizes how service employees perceive the importance of service quality in their organization (Bowen &amp; Schneider, 2014; Schneider &amp; Bowen, 1993). Service clima</w:t>
      </w:r>
      <w:r>
        <w:t>te has emerged as a strategic tool for gaining</w:t>
      </w:r>
      <w:r>
        <w:rPr>
          <w:spacing w:val="-13"/>
        </w:rPr>
        <w:t xml:space="preserve"> </w:t>
      </w:r>
      <w:r>
        <w:t>a</w:t>
      </w:r>
      <w:r>
        <w:rPr>
          <w:spacing w:val="-11"/>
        </w:rPr>
        <w:t xml:space="preserve"> </w:t>
      </w:r>
      <w:r>
        <w:t>competitive</w:t>
      </w:r>
      <w:r>
        <w:rPr>
          <w:spacing w:val="-11"/>
        </w:rPr>
        <w:t xml:space="preserve"> </w:t>
      </w:r>
      <w:r>
        <w:t>advantage</w:t>
      </w:r>
      <w:r>
        <w:rPr>
          <w:spacing w:val="-11"/>
        </w:rPr>
        <w:t xml:space="preserve"> </w:t>
      </w:r>
      <w:r>
        <w:t>in</w:t>
      </w:r>
      <w:r>
        <w:rPr>
          <w:spacing w:val="-11"/>
        </w:rPr>
        <w:t xml:space="preserve"> </w:t>
      </w:r>
      <w:r>
        <w:t>tourist</w:t>
      </w:r>
      <w:r>
        <w:rPr>
          <w:spacing w:val="-10"/>
        </w:rPr>
        <w:t xml:space="preserve"> </w:t>
      </w:r>
      <w:r>
        <w:t>hotel</w:t>
      </w:r>
      <w:r>
        <w:rPr>
          <w:spacing w:val="-12"/>
        </w:rPr>
        <w:t xml:space="preserve"> </w:t>
      </w:r>
      <w:r>
        <w:t>industry</w:t>
      </w:r>
      <w:r>
        <w:rPr>
          <w:spacing w:val="-13"/>
        </w:rPr>
        <w:t xml:space="preserve"> </w:t>
      </w:r>
      <w:r>
        <w:t>(Kralj</w:t>
      </w:r>
      <w:r>
        <w:rPr>
          <w:spacing w:val="-10"/>
        </w:rPr>
        <w:t xml:space="preserve"> </w:t>
      </w:r>
      <w:r>
        <w:t>&amp;</w:t>
      </w:r>
      <w:r>
        <w:rPr>
          <w:spacing w:val="-12"/>
        </w:rPr>
        <w:t xml:space="preserve"> </w:t>
      </w:r>
      <w:r>
        <w:t>Solnet,</w:t>
      </w:r>
      <w:r>
        <w:rPr>
          <w:spacing w:val="-12"/>
        </w:rPr>
        <w:t xml:space="preserve"> </w:t>
      </w:r>
      <w:r>
        <w:t>2010).</w:t>
      </w:r>
      <w:r>
        <w:rPr>
          <w:spacing w:val="-10"/>
        </w:rPr>
        <w:t xml:space="preserve"> </w:t>
      </w:r>
      <w:r>
        <w:t xml:space="preserve">Prior service climate research suggests that service climate is a precursor to employee outcomes, customer outcomes and organizational </w:t>
      </w:r>
      <w:r>
        <w:t>financial performance (Barnes</w:t>
      </w:r>
      <w:r>
        <w:rPr>
          <w:spacing w:val="-25"/>
        </w:rPr>
        <w:t xml:space="preserve"> </w:t>
      </w:r>
      <w:r>
        <w:t>&amp; Collier,</w:t>
      </w:r>
      <w:r>
        <w:rPr>
          <w:spacing w:val="-12"/>
        </w:rPr>
        <w:t xml:space="preserve"> </w:t>
      </w:r>
      <w:r>
        <w:t>2013;</w:t>
      </w:r>
      <w:r>
        <w:rPr>
          <w:spacing w:val="-12"/>
        </w:rPr>
        <w:t xml:space="preserve"> </w:t>
      </w:r>
      <w:r>
        <w:t>Drach-Zahavy</w:t>
      </w:r>
      <w:r>
        <w:rPr>
          <w:spacing w:val="-15"/>
        </w:rPr>
        <w:t xml:space="preserve"> </w:t>
      </w:r>
      <w:r>
        <w:t>&amp;</w:t>
      </w:r>
      <w:r>
        <w:rPr>
          <w:spacing w:val="-13"/>
        </w:rPr>
        <w:t xml:space="preserve"> </w:t>
      </w:r>
      <w:r>
        <w:t>Somech,</w:t>
      </w:r>
      <w:r>
        <w:rPr>
          <w:spacing w:val="-15"/>
        </w:rPr>
        <w:t xml:space="preserve"> </w:t>
      </w:r>
      <w:r>
        <w:t>2013;</w:t>
      </w:r>
      <w:r>
        <w:rPr>
          <w:spacing w:val="-14"/>
        </w:rPr>
        <w:t xml:space="preserve"> </w:t>
      </w:r>
      <w:r>
        <w:t>Raub</w:t>
      </w:r>
      <w:r>
        <w:rPr>
          <w:spacing w:val="-14"/>
        </w:rPr>
        <w:t xml:space="preserve"> </w:t>
      </w:r>
      <w:r>
        <w:t>&amp;</w:t>
      </w:r>
      <w:r>
        <w:rPr>
          <w:spacing w:val="-13"/>
        </w:rPr>
        <w:t xml:space="preserve"> </w:t>
      </w:r>
      <w:r>
        <w:t>Liao,</w:t>
      </w:r>
      <w:r>
        <w:rPr>
          <w:spacing w:val="-15"/>
        </w:rPr>
        <w:t xml:space="preserve"> </w:t>
      </w:r>
      <w:r>
        <w:t>2012;</w:t>
      </w:r>
      <w:r>
        <w:rPr>
          <w:spacing w:val="-12"/>
        </w:rPr>
        <w:t xml:space="preserve"> </w:t>
      </w:r>
      <w:r>
        <w:t>Nicolaides,</w:t>
      </w:r>
      <w:r>
        <w:rPr>
          <w:spacing w:val="-13"/>
        </w:rPr>
        <w:t xml:space="preserve"> </w:t>
      </w:r>
      <w:r>
        <w:t>2008; 2016; Solnet &amp;</w:t>
      </w:r>
      <w:r>
        <w:t xml:space="preserve"> Paulsen, 2006). However, to our knowledge, no study to date has examined the potential impact of service climate on BCB of service employees, particularly</w:t>
      </w:r>
      <w:r>
        <w:rPr>
          <w:spacing w:val="-6"/>
        </w:rPr>
        <w:t xml:space="preserve"> </w:t>
      </w:r>
      <w:r>
        <w:t>in</w:t>
      </w:r>
      <w:r>
        <w:rPr>
          <w:spacing w:val="-7"/>
        </w:rPr>
        <w:t xml:space="preserve"> </w:t>
      </w:r>
      <w:r>
        <w:t>the</w:t>
      </w:r>
      <w:r>
        <w:rPr>
          <w:spacing w:val="-6"/>
        </w:rPr>
        <w:t xml:space="preserve"> </w:t>
      </w:r>
      <w:r>
        <w:t>tourist</w:t>
      </w:r>
      <w:r>
        <w:rPr>
          <w:spacing w:val="-7"/>
        </w:rPr>
        <w:t xml:space="preserve"> </w:t>
      </w:r>
      <w:r>
        <w:t>hotel</w:t>
      </w:r>
      <w:r>
        <w:rPr>
          <w:spacing w:val="-5"/>
        </w:rPr>
        <w:t xml:space="preserve"> </w:t>
      </w:r>
      <w:r>
        <w:t>industry.</w:t>
      </w:r>
      <w:r>
        <w:rPr>
          <w:spacing w:val="-4"/>
        </w:rPr>
        <w:t xml:space="preserve"> </w:t>
      </w:r>
      <w:r>
        <w:t>Yet</w:t>
      </w:r>
      <w:r>
        <w:rPr>
          <w:spacing w:val="-5"/>
        </w:rPr>
        <w:t xml:space="preserve"> </w:t>
      </w:r>
      <w:r>
        <w:t>it</w:t>
      </w:r>
      <w:r>
        <w:rPr>
          <w:spacing w:val="-5"/>
        </w:rPr>
        <w:t xml:space="preserve"> </w:t>
      </w:r>
      <w:r>
        <w:t>is</w:t>
      </w:r>
      <w:r>
        <w:rPr>
          <w:spacing w:val="-4"/>
        </w:rPr>
        <w:t xml:space="preserve"> </w:t>
      </w:r>
      <w:r>
        <w:t>evident</w:t>
      </w:r>
      <w:r>
        <w:rPr>
          <w:spacing w:val="-5"/>
        </w:rPr>
        <w:t xml:space="preserve"> </w:t>
      </w:r>
      <w:r>
        <w:t>that</w:t>
      </w:r>
      <w:r>
        <w:rPr>
          <w:spacing w:val="-5"/>
        </w:rPr>
        <w:t xml:space="preserve"> </w:t>
      </w:r>
      <w:r>
        <w:t>employees</w:t>
      </w:r>
      <w:r>
        <w:rPr>
          <w:spacing w:val="-4"/>
        </w:rPr>
        <w:t xml:space="preserve"> </w:t>
      </w:r>
      <w:r>
        <w:t>working</w:t>
      </w:r>
      <w:r>
        <w:rPr>
          <w:spacing w:val="-4"/>
        </w:rPr>
        <w:t xml:space="preserve"> </w:t>
      </w:r>
      <w:r>
        <w:t>in</w:t>
      </w:r>
      <w:r>
        <w:rPr>
          <w:spacing w:val="-4"/>
        </w:rPr>
        <w:t xml:space="preserve"> </w:t>
      </w:r>
      <w:r>
        <w:t>a positive service climat</w:t>
      </w:r>
      <w:r>
        <w:t xml:space="preserve">e are likely to identify with their organizational values and support their organizational goals including branding (Hong et al., 2013). The lack of research on the influence of service climate on BCB of service employees is surprising, given that service </w:t>
      </w:r>
      <w:r>
        <w:t>employees are the “living brand” as their behavior, through personal interactions with customers, influences the way customers perceive the corporate brand (Baker et al., 2014; Bendapudi &amp; Bendapudi, 2005; Papasolomou &amp; Vrontis,</w:t>
      </w:r>
      <w:r>
        <w:rPr>
          <w:spacing w:val="-2"/>
        </w:rPr>
        <w:t xml:space="preserve"> </w:t>
      </w:r>
      <w:r>
        <w:t>2006).</w:t>
      </w:r>
    </w:p>
    <w:p w:rsidR="00BF4029" w:rsidRDefault="00BF4029">
      <w:pPr>
        <w:pStyle w:val="BodyText"/>
        <w:spacing w:before="1"/>
      </w:pPr>
    </w:p>
    <w:p w:rsidR="00BF4029" w:rsidRDefault="00A24DEF">
      <w:pPr>
        <w:pStyle w:val="BodyText"/>
        <w:ind w:left="104" w:right="118"/>
        <w:jc w:val="both"/>
      </w:pPr>
      <w:r>
        <w:t xml:space="preserve">Another gap in the </w:t>
      </w:r>
      <w:r>
        <w:t xml:space="preserve">literature is the limited knowledge about the antecedents </w:t>
      </w:r>
      <w:r>
        <w:rPr>
          <w:spacing w:val="-3"/>
        </w:rPr>
        <w:t xml:space="preserve">of </w:t>
      </w:r>
      <w:r>
        <w:t>service climate. Some studies (Drach-Zahavy &amp; Somech, 2013; Poujol, 2009; Salanova, Agut &amp; Peiro, 2005; Tang &amp; Tang, 2012) have produced inconsistent results on what shapes a favorable service cl</w:t>
      </w:r>
      <w:r>
        <w:t>imate. For instance, while Tang and Tang (2012) find a positive relationship between human resource (HR) practices and service climate, Salanova et al.’s (2005) work fails to support the direct effect of</w:t>
      </w:r>
      <w:r>
        <w:rPr>
          <w:spacing w:val="-8"/>
        </w:rPr>
        <w:t xml:space="preserve"> </w:t>
      </w:r>
      <w:r>
        <w:t>HR</w:t>
      </w:r>
      <w:r>
        <w:rPr>
          <w:spacing w:val="-13"/>
        </w:rPr>
        <w:t xml:space="preserve"> </w:t>
      </w:r>
      <w:r>
        <w:t>practices,</w:t>
      </w:r>
      <w:r>
        <w:rPr>
          <w:spacing w:val="-12"/>
        </w:rPr>
        <w:t xml:space="preserve"> </w:t>
      </w:r>
      <w:r>
        <w:t>such</w:t>
      </w:r>
      <w:r>
        <w:rPr>
          <w:spacing w:val="-13"/>
        </w:rPr>
        <w:t xml:space="preserve"> </w:t>
      </w:r>
      <w:r>
        <w:t>as</w:t>
      </w:r>
      <w:r>
        <w:rPr>
          <w:spacing w:val="-15"/>
        </w:rPr>
        <w:t xml:space="preserve"> </w:t>
      </w:r>
      <w:r>
        <w:t>autonomy</w:t>
      </w:r>
      <w:r>
        <w:rPr>
          <w:spacing w:val="-12"/>
        </w:rPr>
        <w:t xml:space="preserve"> </w:t>
      </w:r>
      <w:r>
        <w:t>and</w:t>
      </w:r>
      <w:r>
        <w:rPr>
          <w:spacing w:val="-15"/>
        </w:rPr>
        <w:t xml:space="preserve"> </w:t>
      </w:r>
      <w:r>
        <w:t>training,</w:t>
      </w:r>
      <w:r>
        <w:rPr>
          <w:spacing w:val="-11"/>
        </w:rPr>
        <w:t xml:space="preserve"> </w:t>
      </w:r>
      <w:r>
        <w:t>on</w:t>
      </w:r>
      <w:r>
        <w:rPr>
          <w:spacing w:val="-10"/>
        </w:rPr>
        <w:t xml:space="preserve"> </w:t>
      </w:r>
      <w:r>
        <w:t>the</w:t>
      </w:r>
      <w:r>
        <w:rPr>
          <w:spacing w:val="-13"/>
        </w:rPr>
        <w:t xml:space="preserve"> </w:t>
      </w:r>
      <w:r>
        <w:t>service</w:t>
      </w:r>
      <w:r>
        <w:rPr>
          <w:spacing w:val="-10"/>
        </w:rPr>
        <w:t xml:space="preserve"> </w:t>
      </w:r>
      <w:r>
        <w:t>climate</w:t>
      </w:r>
      <w:r>
        <w:rPr>
          <w:spacing w:val="-12"/>
        </w:rPr>
        <w:t xml:space="preserve"> </w:t>
      </w:r>
      <w:r>
        <w:t>of</w:t>
      </w:r>
      <w:r>
        <w:rPr>
          <w:spacing w:val="-9"/>
        </w:rPr>
        <w:t xml:space="preserve"> </w:t>
      </w:r>
      <w:r>
        <w:t>hotels</w:t>
      </w:r>
      <w:r>
        <w:rPr>
          <w:spacing w:val="-10"/>
        </w:rPr>
        <w:t xml:space="preserve"> </w:t>
      </w:r>
      <w:r>
        <w:t>and restaurants. Additionally, few studies have explored the boundary conditions under which the effect of the antecedents on service climate may be stronger or weaker, especially the external uncontrollable forces (e.g. market co</w:t>
      </w:r>
      <w:r>
        <w:t>nditions). With the intensified competition in the tourist hotel industry, it is timely to explore how this market condition can influence the development of service</w:t>
      </w:r>
      <w:r>
        <w:rPr>
          <w:spacing w:val="-2"/>
        </w:rPr>
        <w:t xml:space="preserve"> </w:t>
      </w:r>
      <w:r>
        <w:t>climate.</w:t>
      </w:r>
    </w:p>
    <w:p w:rsidR="00BF4029" w:rsidRDefault="00BF4029">
      <w:pPr>
        <w:pStyle w:val="BodyText"/>
      </w:pPr>
    </w:p>
    <w:p w:rsidR="00BF4029" w:rsidRDefault="00A24DEF">
      <w:pPr>
        <w:pStyle w:val="BodyText"/>
        <w:ind w:left="104" w:right="117"/>
        <w:jc w:val="both"/>
      </w:pPr>
      <w:r>
        <w:t>To</w:t>
      </w:r>
      <w:r>
        <w:rPr>
          <w:spacing w:val="-5"/>
        </w:rPr>
        <w:t xml:space="preserve"> </w:t>
      </w:r>
      <w:r>
        <w:t>bridge</w:t>
      </w:r>
      <w:r>
        <w:rPr>
          <w:spacing w:val="-8"/>
        </w:rPr>
        <w:t xml:space="preserve"> </w:t>
      </w:r>
      <w:r>
        <w:t>these</w:t>
      </w:r>
      <w:r>
        <w:rPr>
          <w:spacing w:val="-5"/>
        </w:rPr>
        <w:t xml:space="preserve"> </w:t>
      </w:r>
      <w:r>
        <w:t>aforementioned</w:t>
      </w:r>
      <w:r>
        <w:rPr>
          <w:spacing w:val="-5"/>
        </w:rPr>
        <w:t xml:space="preserve"> </w:t>
      </w:r>
      <w:r>
        <w:t>research</w:t>
      </w:r>
      <w:r>
        <w:rPr>
          <w:spacing w:val="-7"/>
        </w:rPr>
        <w:t xml:space="preserve"> </w:t>
      </w:r>
      <w:r>
        <w:t>gaps,</w:t>
      </w:r>
      <w:r>
        <w:rPr>
          <w:spacing w:val="-4"/>
        </w:rPr>
        <w:t xml:space="preserve"> </w:t>
      </w:r>
      <w:r>
        <w:t>we</w:t>
      </w:r>
      <w:r>
        <w:rPr>
          <w:spacing w:val="-3"/>
        </w:rPr>
        <w:t xml:space="preserve"> </w:t>
      </w:r>
      <w:r>
        <w:t>investigated</w:t>
      </w:r>
      <w:r>
        <w:rPr>
          <w:spacing w:val="-5"/>
        </w:rPr>
        <w:t xml:space="preserve"> </w:t>
      </w:r>
      <w:r>
        <w:t>the</w:t>
      </w:r>
      <w:r>
        <w:rPr>
          <w:spacing w:val="-6"/>
        </w:rPr>
        <w:t xml:space="preserve"> </w:t>
      </w:r>
      <w:r>
        <w:t>antecedents</w:t>
      </w:r>
      <w:r>
        <w:rPr>
          <w:spacing w:val="-4"/>
        </w:rPr>
        <w:t xml:space="preserve"> </w:t>
      </w:r>
      <w:r>
        <w:t>of service climate and its consequence on BCB of hotel employees in Danang, a new emerging market in Asia, experiencing rapid growth in tourism and</w:t>
      </w:r>
      <w:r>
        <w:rPr>
          <w:spacing w:val="12"/>
        </w:rPr>
        <w:t xml:space="preserve"> </w:t>
      </w:r>
      <w:r>
        <w:t>consequent</w:t>
      </w:r>
    </w:p>
    <w:p w:rsidR="00BF4029" w:rsidRDefault="00BF4029">
      <w:pPr>
        <w:jc w:val="both"/>
        <w:sectPr w:rsidR="00BF4029">
          <w:pgSz w:w="9980" w:h="14180"/>
          <w:pgMar w:top="1240" w:right="840" w:bottom="1100" w:left="860" w:header="625" w:footer="911" w:gutter="0"/>
          <w:cols w:space="720"/>
        </w:sectPr>
      </w:pPr>
    </w:p>
    <w:p w:rsidR="00BF4029" w:rsidRDefault="00A24DEF">
      <w:pPr>
        <w:pStyle w:val="BodyText"/>
        <w:spacing w:before="87"/>
        <w:ind w:left="104" w:right="115"/>
        <w:jc w:val="both"/>
      </w:pPr>
      <w:r>
        <w:lastRenderedPageBreak/>
        <w:t>demand for tourist hotel services. Our paper offers four key contributions. Fir</w:t>
      </w:r>
      <w:r>
        <w:t>st, we investigate</w:t>
      </w:r>
      <w:r>
        <w:rPr>
          <w:spacing w:val="-14"/>
        </w:rPr>
        <w:t xml:space="preserve"> </w:t>
      </w:r>
      <w:r>
        <w:t>whether</w:t>
      </w:r>
      <w:r>
        <w:rPr>
          <w:spacing w:val="-13"/>
        </w:rPr>
        <w:t xml:space="preserve"> </w:t>
      </w:r>
      <w:r>
        <w:t>service</w:t>
      </w:r>
      <w:r>
        <w:rPr>
          <w:spacing w:val="-12"/>
        </w:rPr>
        <w:t xml:space="preserve"> </w:t>
      </w:r>
      <w:r>
        <w:t>climate</w:t>
      </w:r>
      <w:r>
        <w:rPr>
          <w:spacing w:val="-14"/>
        </w:rPr>
        <w:t xml:space="preserve"> </w:t>
      </w:r>
      <w:r>
        <w:t>influences</w:t>
      </w:r>
      <w:r>
        <w:rPr>
          <w:spacing w:val="-14"/>
        </w:rPr>
        <w:t xml:space="preserve"> </w:t>
      </w:r>
      <w:r>
        <w:t>BCB</w:t>
      </w:r>
      <w:r>
        <w:rPr>
          <w:spacing w:val="-12"/>
        </w:rPr>
        <w:t xml:space="preserve"> </w:t>
      </w:r>
      <w:r>
        <w:t>of</w:t>
      </w:r>
      <w:r>
        <w:rPr>
          <w:spacing w:val="-11"/>
        </w:rPr>
        <w:t xml:space="preserve"> </w:t>
      </w:r>
      <w:r>
        <w:t>hotel</w:t>
      </w:r>
      <w:r>
        <w:rPr>
          <w:spacing w:val="-13"/>
        </w:rPr>
        <w:t xml:space="preserve"> </w:t>
      </w:r>
      <w:r>
        <w:t>employees.</w:t>
      </w:r>
      <w:r>
        <w:rPr>
          <w:spacing w:val="-12"/>
        </w:rPr>
        <w:t xml:space="preserve"> </w:t>
      </w:r>
      <w:r>
        <w:t>Second,</w:t>
      </w:r>
      <w:r>
        <w:rPr>
          <w:spacing w:val="-13"/>
        </w:rPr>
        <w:t xml:space="preserve"> </w:t>
      </w:r>
      <w:r>
        <w:t>we determine whether leadership commitment to service quality and service-oriented HR</w:t>
      </w:r>
      <w:r>
        <w:rPr>
          <w:spacing w:val="-18"/>
        </w:rPr>
        <w:t xml:space="preserve"> </w:t>
      </w:r>
      <w:r>
        <w:t>practices</w:t>
      </w:r>
      <w:r>
        <w:rPr>
          <w:spacing w:val="-18"/>
        </w:rPr>
        <w:t xml:space="preserve"> </w:t>
      </w:r>
      <w:r>
        <w:t>can</w:t>
      </w:r>
      <w:r>
        <w:rPr>
          <w:spacing w:val="-16"/>
        </w:rPr>
        <w:t xml:space="preserve"> </w:t>
      </w:r>
      <w:r>
        <w:t>influence</w:t>
      </w:r>
      <w:r>
        <w:rPr>
          <w:spacing w:val="-16"/>
        </w:rPr>
        <w:t xml:space="preserve"> </w:t>
      </w:r>
      <w:r>
        <w:t>service</w:t>
      </w:r>
      <w:r>
        <w:rPr>
          <w:spacing w:val="-16"/>
        </w:rPr>
        <w:t xml:space="preserve"> </w:t>
      </w:r>
      <w:r>
        <w:t>climate,</w:t>
      </w:r>
      <w:r>
        <w:rPr>
          <w:spacing w:val="-20"/>
        </w:rPr>
        <w:t xml:space="preserve"> </w:t>
      </w:r>
      <w:r>
        <w:t>taking</w:t>
      </w:r>
      <w:r>
        <w:rPr>
          <w:spacing w:val="-16"/>
        </w:rPr>
        <w:t xml:space="preserve"> </w:t>
      </w:r>
      <w:r>
        <w:t>into</w:t>
      </w:r>
      <w:r>
        <w:rPr>
          <w:spacing w:val="-15"/>
        </w:rPr>
        <w:t xml:space="preserve"> </w:t>
      </w:r>
      <w:r>
        <w:t>account</w:t>
      </w:r>
      <w:r>
        <w:rPr>
          <w:spacing w:val="-20"/>
        </w:rPr>
        <w:t xml:space="preserve"> </w:t>
      </w:r>
      <w:r>
        <w:t>the</w:t>
      </w:r>
      <w:r>
        <w:rPr>
          <w:spacing w:val="-19"/>
        </w:rPr>
        <w:t xml:space="preserve"> </w:t>
      </w:r>
      <w:r>
        <w:t>moderating</w:t>
      </w:r>
      <w:r>
        <w:rPr>
          <w:spacing w:val="-16"/>
        </w:rPr>
        <w:t xml:space="preserve"> </w:t>
      </w:r>
      <w:r>
        <w:t>effect o</w:t>
      </w:r>
      <w:r>
        <w:t>f</w:t>
      </w:r>
      <w:r>
        <w:rPr>
          <w:spacing w:val="-5"/>
        </w:rPr>
        <w:t xml:space="preserve"> </w:t>
      </w:r>
      <w:r>
        <w:t>competitive</w:t>
      </w:r>
      <w:r>
        <w:rPr>
          <w:spacing w:val="-9"/>
        </w:rPr>
        <w:t xml:space="preserve"> </w:t>
      </w:r>
      <w:r>
        <w:t>intensity</w:t>
      </w:r>
      <w:r>
        <w:rPr>
          <w:spacing w:val="-10"/>
        </w:rPr>
        <w:t xml:space="preserve"> </w:t>
      </w:r>
      <w:r>
        <w:t>as</w:t>
      </w:r>
      <w:r>
        <w:rPr>
          <w:spacing w:val="-9"/>
        </w:rPr>
        <w:t xml:space="preserve"> </w:t>
      </w:r>
      <w:r>
        <w:t>a</w:t>
      </w:r>
      <w:r>
        <w:rPr>
          <w:spacing w:val="-9"/>
        </w:rPr>
        <w:t xml:space="preserve"> </w:t>
      </w:r>
      <w:r>
        <w:t>market</w:t>
      </w:r>
      <w:r>
        <w:rPr>
          <w:spacing w:val="-9"/>
        </w:rPr>
        <w:t xml:space="preserve"> </w:t>
      </w:r>
      <w:r>
        <w:t>condition.</w:t>
      </w:r>
      <w:r>
        <w:rPr>
          <w:spacing w:val="-10"/>
        </w:rPr>
        <w:t xml:space="preserve"> </w:t>
      </w:r>
      <w:r>
        <w:t>Third,</w:t>
      </w:r>
      <w:r>
        <w:rPr>
          <w:spacing w:val="-8"/>
        </w:rPr>
        <w:t xml:space="preserve"> </w:t>
      </w:r>
      <w:r>
        <w:t>we</w:t>
      </w:r>
      <w:r>
        <w:rPr>
          <w:spacing w:val="-8"/>
        </w:rPr>
        <w:t xml:space="preserve"> </w:t>
      </w:r>
      <w:r>
        <w:t>investigate</w:t>
      </w:r>
      <w:r>
        <w:rPr>
          <w:spacing w:val="-8"/>
        </w:rPr>
        <w:t xml:space="preserve"> </w:t>
      </w:r>
      <w:r>
        <w:t>whether</w:t>
      </w:r>
      <w:r>
        <w:rPr>
          <w:spacing w:val="-7"/>
        </w:rPr>
        <w:t xml:space="preserve"> </w:t>
      </w:r>
      <w:r>
        <w:t>service climate</w:t>
      </w:r>
      <w:r>
        <w:rPr>
          <w:spacing w:val="-13"/>
        </w:rPr>
        <w:t xml:space="preserve"> </w:t>
      </w:r>
      <w:r>
        <w:t>mediates</w:t>
      </w:r>
      <w:r>
        <w:rPr>
          <w:spacing w:val="-13"/>
        </w:rPr>
        <w:t xml:space="preserve"> </w:t>
      </w:r>
      <w:r>
        <w:t>the</w:t>
      </w:r>
      <w:r>
        <w:rPr>
          <w:spacing w:val="-12"/>
        </w:rPr>
        <w:t xml:space="preserve"> </w:t>
      </w:r>
      <w:r>
        <w:t>relationship</w:t>
      </w:r>
      <w:r>
        <w:rPr>
          <w:spacing w:val="-11"/>
        </w:rPr>
        <w:t xml:space="preserve"> </w:t>
      </w:r>
      <w:r>
        <w:t>between</w:t>
      </w:r>
      <w:r>
        <w:rPr>
          <w:spacing w:val="-11"/>
        </w:rPr>
        <w:t xml:space="preserve"> </w:t>
      </w:r>
      <w:r>
        <w:t>leadership</w:t>
      </w:r>
      <w:r>
        <w:rPr>
          <w:spacing w:val="-10"/>
        </w:rPr>
        <w:t xml:space="preserve"> </w:t>
      </w:r>
      <w:r>
        <w:t>commitment</w:t>
      </w:r>
      <w:r>
        <w:rPr>
          <w:spacing w:val="-12"/>
        </w:rPr>
        <w:t xml:space="preserve"> </w:t>
      </w:r>
      <w:r>
        <w:t>to</w:t>
      </w:r>
      <w:r>
        <w:rPr>
          <w:spacing w:val="-11"/>
        </w:rPr>
        <w:t xml:space="preserve"> </w:t>
      </w:r>
      <w:r>
        <w:t>service</w:t>
      </w:r>
      <w:r>
        <w:rPr>
          <w:spacing w:val="-11"/>
        </w:rPr>
        <w:t xml:space="preserve"> </w:t>
      </w:r>
      <w:r>
        <w:t>quality and BCB, and as well as that between service-oriented HR practices and BCB. Finally, we apply social exchange theory (Blau, 1968) to advance theory and develop hypotheses to theoretically explain the mechanisms by which service climate is created a</w:t>
      </w:r>
      <w:r>
        <w:t>nd employee BCB is promoted in the tourist hotel industry. Although social exchange theory has been well supported in service and tourism management literature (Lages &amp; Piercy, 2012; Tang &amp; Tang, 2012), very limited attention has been paid to its validatio</w:t>
      </w:r>
      <w:r>
        <w:t xml:space="preserve">n in Asian emerging markets. </w:t>
      </w:r>
      <w:r>
        <w:rPr>
          <w:spacing w:val="3"/>
        </w:rPr>
        <w:t xml:space="preserve">We </w:t>
      </w:r>
      <w:r>
        <w:t>expect</w:t>
      </w:r>
      <w:r>
        <w:rPr>
          <w:spacing w:val="-38"/>
        </w:rPr>
        <w:t xml:space="preserve"> </w:t>
      </w:r>
      <w:r>
        <w:t>that this</w:t>
      </w:r>
      <w:r>
        <w:rPr>
          <w:spacing w:val="-11"/>
        </w:rPr>
        <w:t xml:space="preserve"> </w:t>
      </w:r>
      <w:r>
        <w:t>theory</w:t>
      </w:r>
      <w:r>
        <w:rPr>
          <w:spacing w:val="-12"/>
        </w:rPr>
        <w:t xml:space="preserve"> </w:t>
      </w:r>
      <w:r>
        <w:t>is</w:t>
      </w:r>
      <w:r>
        <w:rPr>
          <w:spacing w:val="-11"/>
        </w:rPr>
        <w:t xml:space="preserve"> </w:t>
      </w:r>
      <w:r>
        <w:t>highly</w:t>
      </w:r>
      <w:r>
        <w:rPr>
          <w:spacing w:val="-12"/>
        </w:rPr>
        <w:t xml:space="preserve"> </w:t>
      </w:r>
      <w:r>
        <w:t>relevant</w:t>
      </w:r>
      <w:r>
        <w:rPr>
          <w:spacing w:val="-9"/>
        </w:rPr>
        <w:t xml:space="preserve"> </w:t>
      </w:r>
      <w:r>
        <w:t>in</w:t>
      </w:r>
      <w:r>
        <w:rPr>
          <w:spacing w:val="-11"/>
        </w:rPr>
        <w:t xml:space="preserve"> </w:t>
      </w:r>
      <w:r>
        <w:t>such</w:t>
      </w:r>
      <w:r>
        <w:rPr>
          <w:spacing w:val="-13"/>
        </w:rPr>
        <w:t xml:space="preserve"> </w:t>
      </w:r>
      <w:r>
        <w:t>markets</w:t>
      </w:r>
      <w:r>
        <w:rPr>
          <w:spacing w:val="-11"/>
        </w:rPr>
        <w:t xml:space="preserve"> </w:t>
      </w:r>
      <w:r>
        <w:t>due</w:t>
      </w:r>
      <w:r>
        <w:rPr>
          <w:spacing w:val="-13"/>
        </w:rPr>
        <w:t xml:space="preserve"> </w:t>
      </w:r>
      <w:r>
        <w:t>to</w:t>
      </w:r>
      <w:r>
        <w:rPr>
          <w:spacing w:val="-10"/>
        </w:rPr>
        <w:t xml:space="preserve"> </w:t>
      </w:r>
      <w:r>
        <w:t>the</w:t>
      </w:r>
      <w:r>
        <w:rPr>
          <w:spacing w:val="-12"/>
        </w:rPr>
        <w:t xml:space="preserve"> </w:t>
      </w:r>
      <w:r>
        <w:t>nature</w:t>
      </w:r>
      <w:r>
        <w:rPr>
          <w:spacing w:val="-12"/>
        </w:rPr>
        <w:t xml:space="preserve"> </w:t>
      </w:r>
      <w:r>
        <w:t>of</w:t>
      </w:r>
      <w:r>
        <w:rPr>
          <w:spacing w:val="-10"/>
        </w:rPr>
        <w:t xml:space="preserve"> </w:t>
      </w:r>
      <w:r>
        <w:t>collectivist</w:t>
      </w:r>
      <w:r>
        <w:rPr>
          <w:spacing w:val="-9"/>
        </w:rPr>
        <w:t xml:space="preserve"> </w:t>
      </w:r>
      <w:r>
        <w:t>cultures (e.g. group norms and interpersonal relationships are more important than advanced Western markets) (Thang et al.,</w:t>
      </w:r>
      <w:r>
        <w:rPr>
          <w:spacing w:val="-6"/>
        </w:rPr>
        <w:t xml:space="preserve"> </w:t>
      </w:r>
      <w:r>
        <w:t>2007).</w:t>
      </w:r>
    </w:p>
    <w:p w:rsidR="00BF4029" w:rsidRDefault="00BF4029">
      <w:pPr>
        <w:pStyle w:val="BodyText"/>
        <w:spacing w:before="1"/>
      </w:pPr>
    </w:p>
    <w:p w:rsidR="00BF4029" w:rsidRDefault="00A24DEF">
      <w:pPr>
        <w:pStyle w:val="BodyText"/>
        <w:ind w:left="104" w:right="121"/>
        <w:jc w:val="both"/>
      </w:pPr>
      <w:r>
        <w:t>The rest of this paper is structured as follows. First, we examine the theoretical background and develop a set of research hypotheses. Following this, we describe the research methodology and present our findings. Finally, we discuss theoretical contribu</w:t>
      </w:r>
      <w:r>
        <w:t>tions, managerial implications, and conclude with research limitations and future research directions.</w:t>
      </w:r>
    </w:p>
    <w:p w:rsidR="00BF4029" w:rsidRDefault="00BF4029">
      <w:pPr>
        <w:pStyle w:val="BodyText"/>
        <w:spacing w:before="8"/>
        <w:rPr>
          <w:sz w:val="21"/>
        </w:rPr>
      </w:pPr>
    </w:p>
    <w:p w:rsidR="00BF4029" w:rsidRDefault="00A24DEF">
      <w:pPr>
        <w:pStyle w:val="Heading1"/>
      </w:pPr>
      <w:r>
        <w:t>Literature review</w:t>
      </w:r>
    </w:p>
    <w:p w:rsidR="00BF4029" w:rsidRDefault="00A24DEF">
      <w:pPr>
        <w:spacing w:before="127"/>
        <w:ind w:left="104"/>
        <w:jc w:val="both"/>
        <w:rPr>
          <w:b/>
        </w:rPr>
      </w:pPr>
      <w:r>
        <w:rPr>
          <w:b/>
        </w:rPr>
        <w:t>Service climate and brand citizenship behaviour</w:t>
      </w:r>
    </w:p>
    <w:p w:rsidR="00BF4029" w:rsidRDefault="00BF4029">
      <w:pPr>
        <w:pStyle w:val="BodyText"/>
        <w:spacing w:before="3"/>
        <w:rPr>
          <w:b/>
          <w:sz w:val="24"/>
        </w:rPr>
      </w:pPr>
    </w:p>
    <w:p w:rsidR="00BF4029" w:rsidRDefault="00A24DEF">
      <w:pPr>
        <w:pStyle w:val="BodyText"/>
        <w:ind w:left="104" w:right="116"/>
        <w:jc w:val="both"/>
      </w:pPr>
      <w:r>
        <w:t>BCB</w:t>
      </w:r>
      <w:r>
        <w:rPr>
          <w:spacing w:val="-17"/>
        </w:rPr>
        <w:t xml:space="preserve"> </w:t>
      </w:r>
      <w:r>
        <w:t>is</w:t>
      </w:r>
      <w:r>
        <w:rPr>
          <w:spacing w:val="-15"/>
        </w:rPr>
        <w:t xml:space="preserve"> </w:t>
      </w:r>
      <w:r>
        <w:t>defined</w:t>
      </w:r>
      <w:r>
        <w:rPr>
          <w:spacing w:val="-19"/>
        </w:rPr>
        <w:t xml:space="preserve"> </w:t>
      </w:r>
      <w:r>
        <w:t>as</w:t>
      </w:r>
      <w:r>
        <w:rPr>
          <w:spacing w:val="-18"/>
        </w:rPr>
        <w:t xml:space="preserve"> </w:t>
      </w:r>
      <w:r>
        <w:t>an</w:t>
      </w:r>
      <w:r>
        <w:rPr>
          <w:spacing w:val="-18"/>
        </w:rPr>
        <w:t xml:space="preserve"> </w:t>
      </w:r>
      <w:r>
        <w:t>aggregated</w:t>
      </w:r>
      <w:r>
        <w:rPr>
          <w:spacing w:val="-17"/>
        </w:rPr>
        <w:t xml:space="preserve"> </w:t>
      </w:r>
      <w:r>
        <w:t>construct</w:t>
      </w:r>
      <w:r>
        <w:rPr>
          <w:spacing w:val="-17"/>
        </w:rPr>
        <w:t xml:space="preserve"> </w:t>
      </w:r>
      <w:r>
        <w:t>of</w:t>
      </w:r>
      <w:r>
        <w:rPr>
          <w:spacing w:val="-14"/>
        </w:rPr>
        <w:t xml:space="preserve"> </w:t>
      </w:r>
      <w:r>
        <w:t>individual</w:t>
      </w:r>
      <w:r>
        <w:rPr>
          <w:spacing w:val="-17"/>
        </w:rPr>
        <w:t xml:space="preserve"> </w:t>
      </w:r>
      <w:r>
        <w:t>behaviors</w:t>
      </w:r>
      <w:r>
        <w:rPr>
          <w:spacing w:val="-14"/>
        </w:rPr>
        <w:t xml:space="preserve"> </w:t>
      </w:r>
      <w:r>
        <w:t>that</w:t>
      </w:r>
      <w:r>
        <w:rPr>
          <w:spacing w:val="-18"/>
        </w:rPr>
        <w:t xml:space="preserve"> </w:t>
      </w:r>
      <w:r>
        <w:t>may</w:t>
      </w:r>
      <w:r>
        <w:rPr>
          <w:spacing w:val="-21"/>
        </w:rPr>
        <w:t xml:space="preserve"> </w:t>
      </w:r>
      <w:r>
        <w:t xml:space="preserve">enhance brand strength. Burmann and Zeplin (2005) propose the construct of </w:t>
      </w:r>
      <w:r>
        <w:rPr>
          <w:spacing w:val="-2"/>
        </w:rPr>
        <w:t xml:space="preserve">BCB </w:t>
      </w:r>
      <w:r>
        <w:t>and its dimensions: helping behavior, brand consideration, brand enthusiasm, sportsmanship, brand endorsement, self-development, and brand advancement. These dimensions were fur</w:t>
      </w:r>
      <w:r>
        <w:t>ther consolidated into three dimensions: willingness-to- help, brand enthusiasm, and propensity for further development (Burmann, Zeplin, &amp; Riley,</w:t>
      </w:r>
      <w:r>
        <w:rPr>
          <w:spacing w:val="1"/>
        </w:rPr>
        <w:t xml:space="preserve"> </w:t>
      </w:r>
      <w:r>
        <w:t>2009).</w:t>
      </w:r>
    </w:p>
    <w:p w:rsidR="00BF4029" w:rsidRDefault="00BF4029">
      <w:pPr>
        <w:pStyle w:val="BodyText"/>
      </w:pPr>
    </w:p>
    <w:p w:rsidR="00BF4029" w:rsidRDefault="00A24DEF">
      <w:pPr>
        <w:pStyle w:val="BodyText"/>
        <w:ind w:left="104" w:right="120"/>
        <w:jc w:val="both"/>
      </w:pPr>
      <w:r>
        <w:t>Studies</w:t>
      </w:r>
      <w:r>
        <w:rPr>
          <w:spacing w:val="-11"/>
        </w:rPr>
        <w:t xml:space="preserve"> </w:t>
      </w:r>
      <w:r>
        <w:t>in</w:t>
      </w:r>
      <w:r>
        <w:rPr>
          <w:spacing w:val="-11"/>
        </w:rPr>
        <w:t xml:space="preserve"> </w:t>
      </w:r>
      <w:r>
        <w:t>tourism</w:t>
      </w:r>
      <w:r>
        <w:rPr>
          <w:spacing w:val="-12"/>
        </w:rPr>
        <w:t xml:space="preserve"> </w:t>
      </w:r>
      <w:r>
        <w:t>management</w:t>
      </w:r>
      <w:r>
        <w:rPr>
          <w:spacing w:val="-12"/>
        </w:rPr>
        <w:t xml:space="preserve"> </w:t>
      </w:r>
      <w:r>
        <w:t>have</w:t>
      </w:r>
      <w:r>
        <w:rPr>
          <w:spacing w:val="-11"/>
        </w:rPr>
        <w:t xml:space="preserve"> </w:t>
      </w:r>
      <w:r>
        <w:t>extensively</w:t>
      </w:r>
      <w:r>
        <w:rPr>
          <w:spacing w:val="-13"/>
        </w:rPr>
        <w:t xml:space="preserve"> </w:t>
      </w:r>
      <w:r>
        <w:t>document</w:t>
      </w:r>
      <w:r>
        <w:rPr>
          <w:spacing w:val="-12"/>
        </w:rPr>
        <w:t xml:space="preserve"> </w:t>
      </w:r>
      <w:r>
        <w:t>the</w:t>
      </w:r>
      <w:r>
        <w:rPr>
          <w:spacing w:val="-13"/>
        </w:rPr>
        <w:t xml:space="preserve"> </w:t>
      </w:r>
      <w:r>
        <w:t>importance</w:t>
      </w:r>
      <w:r>
        <w:rPr>
          <w:spacing w:val="-16"/>
        </w:rPr>
        <w:t xml:space="preserve"> </w:t>
      </w:r>
      <w:r>
        <w:t>of</w:t>
      </w:r>
      <w:r>
        <w:rPr>
          <w:spacing w:val="-8"/>
        </w:rPr>
        <w:t xml:space="preserve"> </w:t>
      </w:r>
      <w:r>
        <w:t>BCB. For example, hotel emp</w:t>
      </w:r>
      <w:r>
        <w:t>loyees’ BCB has been found to affect employee service performance (Baker et al., 2014), customers’ brand trust (Xie et al., 2014) and customer satisfaction (Chang et al., 2012). Scholars have also explained various antecedents of BCB, such as internal bran</w:t>
      </w:r>
      <w:r>
        <w:t>d management (Porricelli et al., 2014), brand communications (Baker et al., 2014) and perceived organizational support (Xie et al.,</w:t>
      </w:r>
      <w:r>
        <w:rPr>
          <w:spacing w:val="-5"/>
        </w:rPr>
        <w:t xml:space="preserve"> </w:t>
      </w:r>
      <w:r>
        <w:t>2014).</w:t>
      </w:r>
    </w:p>
    <w:p w:rsidR="00BF4029" w:rsidRDefault="00BF4029">
      <w:pPr>
        <w:pStyle w:val="BodyText"/>
      </w:pPr>
    </w:p>
    <w:p w:rsidR="00BF4029" w:rsidRDefault="00A24DEF">
      <w:pPr>
        <w:pStyle w:val="BodyText"/>
        <w:ind w:left="104" w:right="116"/>
        <w:jc w:val="both"/>
      </w:pPr>
      <w:r>
        <w:t>To our best knowledge, empirical studies in tourism management have not investigated the potential linkage between BCB and service climate, defined as the perceptions shared among employees regarding “the practices, procedures, and</w:t>
      </w:r>
    </w:p>
    <w:p w:rsidR="00BF4029" w:rsidRDefault="00BF4029">
      <w:pPr>
        <w:jc w:val="both"/>
        <w:sectPr w:rsidR="00BF4029">
          <w:pgSz w:w="9980" w:h="14180"/>
          <w:pgMar w:top="1240" w:right="840" w:bottom="1100" w:left="860" w:header="625" w:footer="911" w:gutter="0"/>
          <w:cols w:space="720"/>
        </w:sectPr>
      </w:pPr>
    </w:p>
    <w:p w:rsidR="00BF4029" w:rsidRDefault="00A24DEF">
      <w:pPr>
        <w:pStyle w:val="BodyText"/>
        <w:spacing w:before="87"/>
        <w:ind w:left="104" w:right="115"/>
        <w:jc w:val="both"/>
      </w:pPr>
      <w:r>
        <w:lastRenderedPageBreak/>
        <w:t>behavi</w:t>
      </w:r>
      <w:r>
        <w:t>ours that get rewarded, supported, and expected with regard to customer service and customer service quality” (1998:151). The focal point of service</w:t>
      </w:r>
      <w:r>
        <w:rPr>
          <w:spacing w:val="-43"/>
        </w:rPr>
        <w:t xml:space="preserve"> </w:t>
      </w:r>
      <w:r>
        <w:t>climate is the extent to which employee efforts and competency are directed towards delivering high quality</w:t>
      </w:r>
      <w:r>
        <w:t xml:space="preserve"> services (Schneider et al., 1998). A service climate exists in the mindset of employees if they perceive that several messages provided by their organisational practices and reward systems, primarily under managerial</w:t>
      </w:r>
      <w:r>
        <w:rPr>
          <w:spacing w:val="-39"/>
        </w:rPr>
        <w:t xml:space="preserve"> </w:t>
      </w:r>
      <w:r>
        <w:t>influence, indicate the organisation’s</w:t>
      </w:r>
      <w:r>
        <w:t xml:space="preserve"> priority commitment to customers and to services (Bowen, Schneider &amp; Kim, 2000; Pugh et al., 2002; Solnet &amp; Paulsen,</w:t>
      </w:r>
      <w:r>
        <w:rPr>
          <w:spacing w:val="-10"/>
        </w:rPr>
        <w:t xml:space="preserve"> </w:t>
      </w:r>
      <w:r>
        <w:t>2006).</w:t>
      </w:r>
    </w:p>
    <w:p w:rsidR="00BF4029" w:rsidRDefault="00BF4029">
      <w:pPr>
        <w:pStyle w:val="BodyText"/>
        <w:spacing w:before="1"/>
      </w:pPr>
    </w:p>
    <w:p w:rsidR="00BF4029" w:rsidRDefault="00A24DEF">
      <w:pPr>
        <w:pStyle w:val="BodyText"/>
        <w:ind w:left="104" w:right="115"/>
        <w:jc w:val="both"/>
      </w:pPr>
      <w:r>
        <w:t>There is a large volume of service climate literature exploring its dimensions. Yet despite the development of service climate stu</w:t>
      </w:r>
      <w:r>
        <w:t xml:space="preserve">dies, there is still no consensus on what constitutes a service climate. Indeed, several authors developed or used various dimensions related to service climate in different contexts. While some scholars (Johnson, 1996; Schneider &amp; Bowen, 1985; Schneider, </w:t>
      </w:r>
      <w:r>
        <w:t>Parkington &amp; Buxton, 1980) considered service climate multi-dimensional construct, others (de Jong, de Ruyter, &amp; Lemmink, 2004; Gracia, Cifre &amp; Grau, 2010; Liao &amp; Chuang, 2007;</w:t>
      </w:r>
      <w:r>
        <w:rPr>
          <w:spacing w:val="-12"/>
        </w:rPr>
        <w:t xml:space="preserve"> </w:t>
      </w:r>
      <w:r>
        <w:t>Little</w:t>
      </w:r>
      <w:r>
        <w:rPr>
          <w:spacing w:val="-13"/>
        </w:rPr>
        <w:t xml:space="preserve"> </w:t>
      </w:r>
      <w:r>
        <w:t>&amp;</w:t>
      </w:r>
      <w:r>
        <w:rPr>
          <w:spacing w:val="-14"/>
        </w:rPr>
        <w:t xml:space="preserve"> </w:t>
      </w:r>
      <w:r>
        <w:t>Dean,</w:t>
      </w:r>
      <w:r>
        <w:rPr>
          <w:spacing w:val="-12"/>
        </w:rPr>
        <w:t xml:space="preserve"> </w:t>
      </w:r>
      <w:r>
        <w:t>2006;</w:t>
      </w:r>
      <w:r>
        <w:rPr>
          <w:spacing w:val="-12"/>
        </w:rPr>
        <w:t xml:space="preserve"> </w:t>
      </w:r>
      <w:r>
        <w:t>Mayer,</w:t>
      </w:r>
      <w:r>
        <w:rPr>
          <w:spacing w:val="-12"/>
        </w:rPr>
        <w:t xml:space="preserve"> </w:t>
      </w:r>
      <w:r>
        <w:t>Ehrhart</w:t>
      </w:r>
      <w:r>
        <w:rPr>
          <w:spacing w:val="-11"/>
        </w:rPr>
        <w:t xml:space="preserve"> </w:t>
      </w:r>
      <w:r>
        <w:t>&amp;</w:t>
      </w:r>
      <w:r>
        <w:rPr>
          <w:spacing w:val="-13"/>
        </w:rPr>
        <w:t xml:space="preserve"> </w:t>
      </w:r>
      <w:r>
        <w:t>Schneider,</w:t>
      </w:r>
      <w:r>
        <w:rPr>
          <w:spacing w:val="-12"/>
        </w:rPr>
        <w:t xml:space="preserve"> </w:t>
      </w:r>
      <w:r>
        <w:t>2009;</w:t>
      </w:r>
      <w:r>
        <w:rPr>
          <w:spacing w:val="-12"/>
        </w:rPr>
        <w:t xml:space="preserve"> </w:t>
      </w:r>
      <w:r>
        <w:t>Salanova</w:t>
      </w:r>
      <w:r>
        <w:rPr>
          <w:spacing w:val="-13"/>
        </w:rPr>
        <w:t xml:space="preserve"> </w:t>
      </w:r>
      <w:r>
        <w:t>et</w:t>
      </w:r>
      <w:r>
        <w:rPr>
          <w:spacing w:val="-13"/>
        </w:rPr>
        <w:t xml:space="preserve"> </w:t>
      </w:r>
      <w:r>
        <w:t>al.,</w:t>
      </w:r>
      <w:r>
        <w:rPr>
          <w:spacing w:val="-12"/>
        </w:rPr>
        <w:t xml:space="preserve"> </w:t>
      </w:r>
      <w:r>
        <w:t>2005) h</w:t>
      </w:r>
      <w:r>
        <w:t>ave highlighted its uni-dimensional nature or a global construct. In the global service climate construct, each item describes a separable facet of the organisation’s work setting and the aggregate of the items represents the more global</w:t>
      </w:r>
      <w:r>
        <w:rPr>
          <w:spacing w:val="-14"/>
        </w:rPr>
        <w:t xml:space="preserve"> </w:t>
      </w:r>
      <w:r>
        <w:rPr>
          <w:i/>
        </w:rPr>
        <w:t>gestalt</w:t>
      </w:r>
      <w:r>
        <w:rPr>
          <w:i/>
          <w:spacing w:val="-15"/>
        </w:rPr>
        <w:t xml:space="preserve"> </w:t>
      </w:r>
      <w:r>
        <w:t>of</w:t>
      </w:r>
      <w:r>
        <w:rPr>
          <w:spacing w:val="-15"/>
        </w:rPr>
        <w:t xml:space="preserve"> </w:t>
      </w:r>
      <w:r>
        <w:t>service</w:t>
      </w:r>
      <w:r>
        <w:rPr>
          <w:spacing w:val="-13"/>
        </w:rPr>
        <w:t xml:space="preserve"> </w:t>
      </w:r>
      <w:r>
        <w:t>climate</w:t>
      </w:r>
      <w:r>
        <w:rPr>
          <w:spacing w:val="-15"/>
        </w:rPr>
        <w:t xml:space="preserve"> </w:t>
      </w:r>
      <w:r>
        <w:t>(Schneider</w:t>
      </w:r>
      <w:r>
        <w:rPr>
          <w:spacing w:val="-15"/>
        </w:rPr>
        <w:t xml:space="preserve"> </w:t>
      </w:r>
      <w:r>
        <w:t>&amp;</w:t>
      </w:r>
      <w:r>
        <w:rPr>
          <w:spacing w:val="-21"/>
        </w:rPr>
        <w:t xml:space="preserve"> </w:t>
      </w:r>
      <w:r>
        <w:t>White,</w:t>
      </w:r>
      <w:r>
        <w:rPr>
          <w:spacing w:val="-13"/>
        </w:rPr>
        <w:t xml:space="preserve"> </w:t>
      </w:r>
      <w:r>
        <w:t>2004).</w:t>
      </w:r>
      <w:r>
        <w:rPr>
          <w:spacing w:val="-10"/>
        </w:rPr>
        <w:t xml:space="preserve"> </w:t>
      </w:r>
      <w:r>
        <w:t>Because</w:t>
      </w:r>
      <w:r>
        <w:rPr>
          <w:spacing w:val="-16"/>
        </w:rPr>
        <w:t xml:space="preserve"> </w:t>
      </w:r>
      <w:r>
        <w:t>service</w:t>
      </w:r>
      <w:r>
        <w:rPr>
          <w:spacing w:val="-13"/>
        </w:rPr>
        <w:t xml:space="preserve"> </w:t>
      </w:r>
      <w:r>
        <w:t>climate represents</w:t>
      </w:r>
      <w:r>
        <w:rPr>
          <w:spacing w:val="-16"/>
        </w:rPr>
        <w:t xml:space="preserve"> </w:t>
      </w:r>
      <w:r>
        <w:t>an</w:t>
      </w:r>
      <w:r>
        <w:rPr>
          <w:spacing w:val="-17"/>
        </w:rPr>
        <w:t xml:space="preserve"> </w:t>
      </w:r>
      <w:r>
        <w:t>overall</w:t>
      </w:r>
      <w:r>
        <w:rPr>
          <w:spacing w:val="-16"/>
        </w:rPr>
        <w:t xml:space="preserve"> </w:t>
      </w:r>
      <w:r>
        <w:t>sense</w:t>
      </w:r>
      <w:r>
        <w:rPr>
          <w:spacing w:val="-16"/>
        </w:rPr>
        <w:t xml:space="preserve"> </w:t>
      </w:r>
      <w:r>
        <w:t>or</w:t>
      </w:r>
      <w:r>
        <w:rPr>
          <w:spacing w:val="-14"/>
        </w:rPr>
        <w:t xml:space="preserve"> </w:t>
      </w:r>
      <w:r>
        <w:t>atmosphere</w:t>
      </w:r>
      <w:r>
        <w:rPr>
          <w:spacing w:val="-18"/>
        </w:rPr>
        <w:t xml:space="preserve"> </w:t>
      </w:r>
      <w:r>
        <w:t>of</w:t>
      </w:r>
      <w:r>
        <w:rPr>
          <w:spacing w:val="-14"/>
        </w:rPr>
        <w:t xml:space="preserve"> </w:t>
      </w:r>
      <w:r>
        <w:t>a</w:t>
      </w:r>
      <w:r>
        <w:rPr>
          <w:spacing w:val="-15"/>
        </w:rPr>
        <w:t xml:space="preserve"> </w:t>
      </w:r>
      <w:r>
        <w:t>service</w:t>
      </w:r>
      <w:r>
        <w:rPr>
          <w:spacing w:val="-15"/>
        </w:rPr>
        <w:t xml:space="preserve"> </w:t>
      </w:r>
      <w:r>
        <w:t>organisation,</w:t>
      </w:r>
      <w:r>
        <w:rPr>
          <w:spacing w:val="-16"/>
        </w:rPr>
        <w:t xml:space="preserve"> </w:t>
      </w:r>
      <w:r>
        <w:t>service</w:t>
      </w:r>
      <w:r>
        <w:rPr>
          <w:spacing w:val="-15"/>
        </w:rPr>
        <w:t xml:space="preserve"> </w:t>
      </w:r>
      <w:r>
        <w:t>climate scholars may use global service climate to assess directly employees’ perceptions of the favourableness of their organisation’s service climate (Schneider &amp; White, 2004). Additionally, Glisson and James (2002) and Griffin and Neal (2000) argued tha</w:t>
      </w:r>
      <w:r>
        <w:t>t the climate construct should be conceptualised as a global construct as it will reflect individual employees’ perceptions about how service is valued within their organisation</w:t>
      </w:r>
      <w:r>
        <w:rPr>
          <w:spacing w:val="-16"/>
        </w:rPr>
        <w:t xml:space="preserve"> </w:t>
      </w:r>
      <w:r>
        <w:t>and</w:t>
      </w:r>
      <w:r>
        <w:rPr>
          <w:spacing w:val="-18"/>
        </w:rPr>
        <w:t xml:space="preserve"> </w:t>
      </w:r>
      <w:r>
        <w:t>will</w:t>
      </w:r>
      <w:r>
        <w:rPr>
          <w:spacing w:val="-17"/>
        </w:rPr>
        <w:t xml:space="preserve"> </w:t>
      </w:r>
      <w:r>
        <w:t>represent</w:t>
      </w:r>
      <w:r>
        <w:rPr>
          <w:spacing w:val="-16"/>
        </w:rPr>
        <w:t xml:space="preserve"> </w:t>
      </w:r>
      <w:r>
        <w:t>a</w:t>
      </w:r>
      <w:r>
        <w:rPr>
          <w:spacing w:val="-17"/>
        </w:rPr>
        <w:t xml:space="preserve"> </w:t>
      </w:r>
      <w:r>
        <w:t>more</w:t>
      </w:r>
      <w:r>
        <w:rPr>
          <w:spacing w:val="-16"/>
        </w:rPr>
        <w:t xml:space="preserve"> </w:t>
      </w:r>
      <w:r>
        <w:t>accurate</w:t>
      </w:r>
      <w:r>
        <w:rPr>
          <w:spacing w:val="-18"/>
        </w:rPr>
        <w:t xml:space="preserve"> </w:t>
      </w:r>
      <w:r>
        <w:t>estimate</w:t>
      </w:r>
      <w:r>
        <w:rPr>
          <w:spacing w:val="-17"/>
        </w:rPr>
        <w:t xml:space="preserve"> </w:t>
      </w:r>
      <w:r>
        <w:t>of</w:t>
      </w:r>
      <w:r>
        <w:rPr>
          <w:spacing w:val="-17"/>
        </w:rPr>
        <w:t xml:space="preserve"> </w:t>
      </w:r>
      <w:r>
        <w:t>the</w:t>
      </w:r>
      <w:r>
        <w:rPr>
          <w:spacing w:val="-20"/>
        </w:rPr>
        <w:t xml:space="preserve"> </w:t>
      </w:r>
      <w:r>
        <w:t>relationship</w:t>
      </w:r>
      <w:r>
        <w:rPr>
          <w:spacing w:val="-17"/>
        </w:rPr>
        <w:t xml:space="preserve"> </w:t>
      </w:r>
      <w:r>
        <w:t>between servic</w:t>
      </w:r>
      <w:r>
        <w:t>e climate and other</w:t>
      </w:r>
      <w:r>
        <w:rPr>
          <w:spacing w:val="-5"/>
        </w:rPr>
        <w:t xml:space="preserve"> </w:t>
      </w:r>
      <w:r>
        <w:t>factors.</w:t>
      </w:r>
    </w:p>
    <w:p w:rsidR="00BF4029" w:rsidRDefault="00BF4029">
      <w:pPr>
        <w:pStyle w:val="BodyText"/>
        <w:spacing w:before="11"/>
        <w:rPr>
          <w:sz w:val="21"/>
        </w:rPr>
      </w:pPr>
    </w:p>
    <w:p w:rsidR="00BF4029" w:rsidRDefault="00A24DEF">
      <w:pPr>
        <w:pStyle w:val="BodyText"/>
        <w:ind w:left="104" w:right="118"/>
        <w:jc w:val="both"/>
      </w:pPr>
      <w:r>
        <w:t>According to the premise of reciprocity in social exchange theory (Blau, 1968; Colwell</w:t>
      </w:r>
      <w:r>
        <w:rPr>
          <w:spacing w:val="-14"/>
        </w:rPr>
        <w:t xml:space="preserve"> </w:t>
      </w:r>
      <w:r>
        <w:t>et</w:t>
      </w:r>
      <w:r>
        <w:rPr>
          <w:spacing w:val="-13"/>
        </w:rPr>
        <w:t xml:space="preserve"> </w:t>
      </w:r>
      <w:r>
        <w:t>al.,</w:t>
      </w:r>
      <w:r>
        <w:rPr>
          <w:spacing w:val="-11"/>
        </w:rPr>
        <w:t xml:space="preserve"> </w:t>
      </w:r>
      <w:r>
        <w:t>2009;</w:t>
      </w:r>
      <w:r>
        <w:rPr>
          <w:spacing w:val="-17"/>
        </w:rPr>
        <w:t xml:space="preserve"> </w:t>
      </w:r>
      <w:r>
        <w:t>Gould-Williams,</w:t>
      </w:r>
      <w:r>
        <w:rPr>
          <w:spacing w:val="-14"/>
        </w:rPr>
        <w:t xml:space="preserve"> </w:t>
      </w:r>
      <w:r>
        <w:t>2007;</w:t>
      </w:r>
      <w:r>
        <w:rPr>
          <w:spacing w:val="-15"/>
        </w:rPr>
        <w:t xml:space="preserve"> </w:t>
      </w:r>
      <w:r>
        <w:t>Lages</w:t>
      </w:r>
      <w:r>
        <w:rPr>
          <w:spacing w:val="-18"/>
        </w:rPr>
        <w:t xml:space="preserve"> </w:t>
      </w:r>
      <w:r>
        <w:t>&amp;</w:t>
      </w:r>
      <w:r>
        <w:rPr>
          <w:spacing w:val="-14"/>
        </w:rPr>
        <w:t xml:space="preserve"> </w:t>
      </w:r>
      <w:r>
        <w:t>Piercy,</w:t>
      </w:r>
      <w:r>
        <w:rPr>
          <w:spacing w:val="-11"/>
        </w:rPr>
        <w:t xml:space="preserve"> </w:t>
      </w:r>
      <w:r>
        <w:t>2012;</w:t>
      </w:r>
      <w:r>
        <w:rPr>
          <w:spacing w:val="-15"/>
        </w:rPr>
        <w:t xml:space="preserve"> </w:t>
      </w:r>
      <w:r>
        <w:t>Snape</w:t>
      </w:r>
      <w:r>
        <w:rPr>
          <w:spacing w:val="-15"/>
        </w:rPr>
        <w:t xml:space="preserve"> </w:t>
      </w:r>
      <w:r>
        <w:t>&amp;</w:t>
      </w:r>
      <w:r>
        <w:rPr>
          <w:spacing w:val="-19"/>
        </w:rPr>
        <w:t xml:space="preserve"> </w:t>
      </w:r>
      <w:r>
        <w:t>Redman, 2010), we argue that the exchange of resources such as service climate not only sends a message to service employees that service quality is the priority in their organization but also prompts a sense of obligation in service employees. This is bec</w:t>
      </w:r>
      <w:r>
        <w:t>ause all parties involved in the exchanges would receive mutual benefits from the relationships (Gould-Williams, 2007). In other words, the quality of social exchange (e.g. leader- member exchange, organizational support) results in employee feeling of sup</w:t>
      </w:r>
      <w:r>
        <w:t>port by their organizations, which lead to form of</w:t>
      </w:r>
      <w:r>
        <w:rPr>
          <w:spacing w:val="-39"/>
        </w:rPr>
        <w:t xml:space="preserve"> </w:t>
      </w:r>
      <w:r>
        <w:t>reciprocity (Snape &amp; Redman,</w:t>
      </w:r>
      <w:r>
        <w:rPr>
          <w:spacing w:val="-2"/>
        </w:rPr>
        <w:t xml:space="preserve"> </w:t>
      </w:r>
      <w:r>
        <w:t>2010).</w:t>
      </w:r>
    </w:p>
    <w:p w:rsidR="00BF4029" w:rsidRDefault="00BF4029">
      <w:pPr>
        <w:pStyle w:val="BodyText"/>
        <w:spacing w:before="2"/>
      </w:pPr>
    </w:p>
    <w:p w:rsidR="00BF4029" w:rsidRDefault="00A24DEF">
      <w:pPr>
        <w:pStyle w:val="BodyText"/>
        <w:ind w:left="104" w:right="120"/>
        <w:jc w:val="both"/>
      </w:pPr>
      <w:r>
        <w:t>Prior research suggests that service climate plays an important role in influencing employee service attitudes and behavior. For example, in a study of call center empl</w:t>
      </w:r>
      <w:r>
        <w:t>oyees, Little and Dean (2006) found that service climate determines both their level</w:t>
      </w:r>
      <w:r>
        <w:rPr>
          <w:spacing w:val="-6"/>
        </w:rPr>
        <w:t xml:space="preserve"> </w:t>
      </w:r>
      <w:r>
        <w:t>of</w:t>
      </w:r>
      <w:r>
        <w:rPr>
          <w:spacing w:val="-4"/>
        </w:rPr>
        <w:t xml:space="preserve"> </w:t>
      </w:r>
      <w:r>
        <w:t>commitment</w:t>
      </w:r>
      <w:r>
        <w:rPr>
          <w:spacing w:val="-7"/>
        </w:rPr>
        <w:t xml:space="preserve"> </w:t>
      </w:r>
      <w:r>
        <w:t>to</w:t>
      </w:r>
      <w:r>
        <w:rPr>
          <w:spacing w:val="-5"/>
        </w:rPr>
        <w:t xml:space="preserve"> </w:t>
      </w:r>
      <w:r>
        <w:t>service</w:t>
      </w:r>
      <w:r>
        <w:rPr>
          <w:spacing w:val="-4"/>
        </w:rPr>
        <w:t xml:space="preserve"> </w:t>
      </w:r>
      <w:r>
        <w:t>quality</w:t>
      </w:r>
      <w:r>
        <w:rPr>
          <w:spacing w:val="-7"/>
        </w:rPr>
        <w:t xml:space="preserve"> </w:t>
      </w:r>
      <w:r>
        <w:t>and</w:t>
      </w:r>
      <w:r>
        <w:rPr>
          <w:spacing w:val="-6"/>
        </w:rPr>
        <w:t xml:space="preserve"> </w:t>
      </w:r>
      <w:r>
        <w:t>their</w:t>
      </w:r>
      <w:r>
        <w:rPr>
          <w:spacing w:val="-6"/>
        </w:rPr>
        <w:t xml:space="preserve"> </w:t>
      </w:r>
      <w:r>
        <w:t>perceived</w:t>
      </w:r>
      <w:r>
        <w:rPr>
          <w:spacing w:val="-4"/>
        </w:rPr>
        <w:t xml:space="preserve"> </w:t>
      </w:r>
      <w:r>
        <w:t>service</w:t>
      </w:r>
      <w:r>
        <w:rPr>
          <w:spacing w:val="-7"/>
        </w:rPr>
        <w:t xml:space="preserve"> </w:t>
      </w:r>
      <w:r>
        <w:t>quality</w:t>
      </w:r>
      <w:r>
        <w:rPr>
          <w:spacing w:val="-6"/>
        </w:rPr>
        <w:t xml:space="preserve"> </w:t>
      </w:r>
      <w:r>
        <w:t>capability. Another</w:t>
      </w:r>
      <w:r>
        <w:rPr>
          <w:spacing w:val="16"/>
        </w:rPr>
        <w:t xml:space="preserve"> </w:t>
      </w:r>
      <w:r>
        <w:t>study</w:t>
      </w:r>
      <w:r>
        <w:rPr>
          <w:spacing w:val="14"/>
        </w:rPr>
        <w:t xml:space="preserve"> </w:t>
      </w:r>
      <w:r>
        <w:t>of</w:t>
      </w:r>
      <w:r>
        <w:rPr>
          <w:spacing w:val="17"/>
        </w:rPr>
        <w:t xml:space="preserve"> </w:t>
      </w:r>
      <w:r>
        <w:t>front-line</w:t>
      </w:r>
      <w:r>
        <w:rPr>
          <w:spacing w:val="15"/>
        </w:rPr>
        <w:t xml:space="preserve"> </w:t>
      </w:r>
      <w:r>
        <w:t>employees</w:t>
      </w:r>
      <w:r>
        <w:rPr>
          <w:spacing w:val="16"/>
        </w:rPr>
        <w:t xml:space="preserve"> </w:t>
      </w:r>
      <w:r>
        <w:t>by</w:t>
      </w:r>
      <w:r>
        <w:rPr>
          <w:spacing w:val="14"/>
        </w:rPr>
        <w:t xml:space="preserve"> </w:t>
      </w:r>
      <w:r>
        <w:t>Pimpakorn</w:t>
      </w:r>
      <w:r>
        <w:rPr>
          <w:spacing w:val="15"/>
        </w:rPr>
        <w:t xml:space="preserve"> </w:t>
      </w:r>
      <w:r>
        <w:t>and</w:t>
      </w:r>
      <w:r>
        <w:rPr>
          <w:spacing w:val="16"/>
        </w:rPr>
        <w:t xml:space="preserve"> </w:t>
      </w:r>
      <w:r>
        <w:t>Patterson</w:t>
      </w:r>
      <w:r>
        <w:rPr>
          <w:spacing w:val="16"/>
        </w:rPr>
        <w:t xml:space="preserve"> </w:t>
      </w:r>
      <w:r>
        <w:t>(2010)</w:t>
      </w:r>
      <w:r>
        <w:rPr>
          <w:spacing w:val="14"/>
        </w:rPr>
        <w:t xml:space="preserve"> </w:t>
      </w:r>
      <w:r>
        <w:t>further</w:t>
      </w:r>
    </w:p>
    <w:p w:rsidR="00BF4029" w:rsidRDefault="00BF4029">
      <w:pPr>
        <w:jc w:val="both"/>
        <w:sectPr w:rsidR="00BF4029">
          <w:pgSz w:w="9980" w:h="14180"/>
          <w:pgMar w:top="1240" w:right="840" w:bottom="1100" w:left="860" w:header="625" w:footer="911" w:gutter="0"/>
          <w:cols w:space="720"/>
        </w:sectPr>
      </w:pPr>
    </w:p>
    <w:p w:rsidR="00BF4029" w:rsidRDefault="00A24DEF">
      <w:pPr>
        <w:pStyle w:val="BodyText"/>
        <w:spacing w:before="87"/>
        <w:ind w:left="104" w:right="121"/>
        <w:jc w:val="both"/>
      </w:pPr>
      <w:r>
        <w:lastRenderedPageBreak/>
        <w:t>posits that service climate contributes to enhanced customer-oriented behavior. Along the same vein, we posit that service employees reciprocate by engaging in behaviors that support organizational values represented by the brand, commun</w:t>
      </w:r>
      <w:r>
        <w:t>icated</w:t>
      </w:r>
      <w:r>
        <w:rPr>
          <w:spacing w:val="-15"/>
        </w:rPr>
        <w:t xml:space="preserve"> </w:t>
      </w:r>
      <w:r>
        <w:t>through</w:t>
      </w:r>
      <w:r>
        <w:rPr>
          <w:spacing w:val="-15"/>
        </w:rPr>
        <w:t xml:space="preserve"> </w:t>
      </w:r>
      <w:r>
        <w:t>service</w:t>
      </w:r>
      <w:r>
        <w:rPr>
          <w:spacing w:val="-12"/>
        </w:rPr>
        <w:t xml:space="preserve"> </w:t>
      </w:r>
      <w:r>
        <w:t>encounters</w:t>
      </w:r>
      <w:r>
        <w:rPr>
          <w:spacing w:val="-15"/>
        </w:rPr>
        <w:t xml:space="preserve"> </w:t>
      </w:r>
      <w:r>
        <w:t>or</w:t>
      </w:r>
      <w:r>
        <w:rPr>
          <w:spacing w:val="-14"/>
        </w:rPr>
        <w:t xml:space="preserve"> </w:t>
      </w:r>
      <w:r>
        <w:t>personal</w:t>
      </w:r>
      <w:r>
        <w:rPr>
          <w:spacing w:val="-14"/>
        </w:rPr>
        <w:t xml:space="preserve"> </w:t>
      </w:r>
      <w:r>
        <w:t>interactions</w:t>
      </w:r>
      <w:r>
        <w:rPr>
          <w:spacing w:val="-15"/>
        </w:rPr>
        <w:t xml:space="preserve"> </w:t>
      </w:r>
      <w:r>
        <w:t>between</w:t>
      </w:r>
      <w:r>
        <w:rPr>
          <w:spacing w:val="-12"/>
        </w:rPr>
        <w:t xml:space="preserve"> </w:t>
      </w:r>
      <w:r>
        <w:t>service employees</w:t>
      </w:r>
      <w:r>
        <w:rPr>
          <w:spacing w:val="-9"/>
        </w:rPr>
        <w:t xml:space="preserve"> </w:t>
      </w:r>
      <w:r>
        <w:t>and</w:t>
      </w:r>
      <w:r>
        <w:rPr>
          <w:spacing w:val="-9"/>
        </w:rPr>
        <w:t xml:space="preserve"> </w:t>
      </w:r>
      <w:r>
        <w:t>customers</w:t>
      </w:r>
      <w:r>
        <w:rPr>
          <w:spacing w:val="-8"/>
        </w:rPr>
        <w:t xml:space="preserve"> </w:t>
      </w:r>
      <w:r>
        <w:t>(Baker</w:t>
      </w:r>
      <w:r>
        <w:rPr>
          <w:spacing w:val="-8"/>
        </w:rPr>
        <w:t xml:space="preserve"> </w:t>
      </w:r>
      <w:r>
        <w:t>et</w:t>
      </w:r>
      <w:r>
        <w:rPr>
          <w:spacing w:val="-9"/>
        </w:rPr>
        <w:t xml:space="preserve"> </w:t>
      </w:r>
      <w:r>
        <w:t>al.,</w:t>
      </w:r>
      <w:r>
        <w:rPr>
          <w:spacing w:val="-8"/>
        </w:rPr>
        <w:t xml:space="preserve"> </w:t>
      </w:r>
      <w:r>
        <w:t>2014;</w:t>
      </w:r>
      <w:r>
        <w:rPr>
          <w:spacing w:val="-10"/>
        </w:rPr>
        <w:t xml:space="preserve"> </w:t>
      </w:r>
      <w:r>
        <w:t>King</w:t>
      </w:r>
      <w:r>
        <w:rPr>
          <w:spacing w:val="-7"/>
        </w:rPr>
        <w:t xml:space="preserve"> </w:t>
      </w:r>
      <w:r>
        <w:t>&amp;</w:t>
      </w:r>
      <w:r>
        <w:rPr>
          <w:spacing w:val="-13"/>
        </w:rPr>
        <w:t xml:space="preserve"> </w:t>
      </w:r>
      <w:r>
        <w:t>Grace,</w:t>
      </w:r>
      <w:r>
        <w:rPr>
          <w:spacing w:val="-8"/>
        </w:rPr>
        <w:t xml:space="preserve"> </w:t>
      </w:r>
      <w:r>
        <w:t>2012).</w:t>
      </w:r>
      <w:r>
        <w:rPr>
          <w:spacing w:val="-12"/>
        </w:rPr>
        <w:t xml:space="preserve"> </w:t>
      </w:r>
      <w:r>
        <w:t>That</w:t>
      </w:r>
      <w:r>
        <w:rPr>
          <w:spacing w:val="-10"/>
        </w:rPr>
        <w:t xml:space="preserve"> </w:t>
      </w:r>
      <w:r>
        <w:t>is,</w:t>
      </w:r>
      <w:r>
        <w:rPr>
          <w:spacing w:val="-8"/>
        </w:rPr>
        <w:t xml:space="preserve"> </w:t>
      </w:r>
      <w:r>
        <w:t>service employees, who perceive service quality as a top priority in their organization, are likely to willingly put extra efforts beyond their formal job descriptions to help strengthening the identity of their organizational brand. Thus, we hypothesize</w:t>
      </w:r>
      <w:r>
        <w:rPr>
          <w:spacing w:val="-24"/>
        </w:rPr>
        <w:t xml:space="preserve"> </w:t>
      </w:r>
      <w:r>
        <w:t>t</w:t>
      </w:r>
      <w:r>
        <w:t>hat:</w:t>
      </w:r>
    </w:p>
    <w:p w:rsidR="00BF4029" w:rsidRDefault="00BF4029">
      <w:pPr>
        <w:pStyle w:val="BodyText"/>
        <w:spacing w:before="1"/>
      </w:pPr>
    </w:p>
    <w:p w:rsidR="00BF4029" w:rsidRDefault="00A24DEF">
      <w:pPr>
        <w:ind w:left="104"/>
        <w:jc w:val="both"/>
        <w:rPr>
          <w:i/>
        </w:rPr>
      </w:pPr>
      <w:r>
        <w:rPr>
          <w:i/>
        </w:rPr>
        <w:t>H1. Service climate positively influences brand citizenship behavior.</w:t>
      </w:r>
    </w:p>
    <w:p w:rsidR="00BF4029" w:rsidRDefault="00BF4029">
      <w:pPr>
        <w:pStyle w:val="BodyText"/>
        <w:spacing w:before="7"/>
        <w:rPr>
          <w:i/>
          <w:sz w:val="21"/>
        </w:rPr>
      </w:pPr>
    </w:p>
    <w:p w:rsidR="00BF4029" w:rsidRDefault="00A24DEF">
      <w:pPr>
        <w:pStyle w:val="Heading1"/>
        <w:spacing w:before="1"/>
        <w:ind w:right="174"/>
      </w:pPr>
      <w:r>
        <w:t>Leadership commitment to service quality, service-oriented human resource practices and service climate</w:t>
      </w:r>
    </w:p>
    <w:p w:rsidR="00BF4029" w:rsidRDefault="00BF4029">
      <w:pPr>
        <w:pStyle w:val="BodyText"/>
        <w:spacing w:before="4"/>
        <w:rPr>
          <w:b/>
        </w:rPr>
      </w:pPr>
    </w:p>
    <w:p w:rsidR="00BF4029" w:rsidRDefault="00A24DEF">
      <w:pPr>
        <w:pStyle w:val="BodyText"/>
        <w:ind w:left="104" w:right="119"/>
        <w:jc w:val="both"/>
      </w:pPr>
      <w:r>
        <w:t>Prior studies (Hong et al., 2013; Nicolaides, 2008; Liao &amp; Chuang, 2007;</w:t>
      </w:r>
      <w:r>
        <w:rPr>
          <w:spacing w:val="-34"/>
        </w:rPr>
        <w:t xml:space="preserve"> </w:t>
      </w:r>
      <w:r>
        <w:t>Salvaggio et al., 2007) investigating the role of leadership in shaping service climate have predominantly focused on the influences of leader personalities and/or leadership styles on service climate. For example, Salvaggio et al. (2007) argue that leader</w:t>
      </w:r>
      <w:r>
        <w:t>s with positive traits (e.g. core self-evaluations) have a positive service quality orientation, which in turn leads to a favorable service climate. However, no study has examined the influence of leadership commitment to service quality on service climate</w:t>
      </w:r>
      <w:r>
        <w:t>. Leadership commitment to service quality refers to the affective desire of leaders</w:t>
      </w:r>
      <w:r>
        <w:rPr>
          <w:spacing w:val="-6"/>
        </w:rPr>
        <w:t xml:space="preserve"> </w:t>
      </w:r>
      <w:r>
        <w:t>to</w:t>
      </w:r>
      <w:r>
        <w:rPr>
          <w:spacing w:val="-4"/>
        </w:rPr>
        <w:t xml:space="preserve"> </w:t>
      </w:r>
      <w:r>
        <w:t>enhance</w:t>
      </w:r>
      <w:r>
        <w:rPr>
          <w:spacing w:val="-7"/>
        </w:rPr>
        <w:t xml:space="preserve"> </w:t>
      </w:r>
      <w:r>
        <w:t>service</w:t>
      </w:r>
      <w:r>
        <w:rPr>
          <w:spacing w:val="-6"/>
        </w:rPr>
        <w:t xml:space="preserve"> </w:t>
      </w:r>
      <w:r>
        <w:t>quality</w:t>
      </w:r>
      <w:r>
        <w:rPr>
          <w:spacing w:val="-6"/>
        </w:rPr>
        <w:t xml:space="preserve"> </w:t>
      </w:r>
      <w:r>
        <w:t>in</w:t>
      </w:r>
      <w:r>
        <w:rPr>
          <w:spacing w:val="-4"/>
        </w:rPr>
        <w:t xml:space="preserve"> </w:t>
      </w:r>
      <w:r>
        <w:t>their</w:t>
      </w:r>
      <w:r>
        <w:rPr>
          <w:spacing w:val="-5"/>
        </w:rPr>
        <w:t xml:space="preserve"> </w:t>
      </w:r>
      <w:r>
        <w:t>organization</w:t>
      </w:r>
      <w:r>
        <w:rPr>
          <w:spacing w:val="-3"/>
        </w:rPr>
        <w:t xml:space="preserve"> </w:t>
      </w:r>
      <w:r>
        <w:t>(Hartline</w:t>
      </w:r>
      <w:r>
        <w:rPr>
          <w:spacing w:val="-4"/>
        </w:rPr>
        <w:t xml:space="preserve"> </w:t>
      </w:r>
      <w:r>
        <w:t>&amp;</w:t>
      </w:r>
      <w:r>
        <w:rPr>
          <w:spacing w:val="-7"/>
        </w:rPr>
        <w:t xml:space="preserve"> </w:t>
      </w:r>
      <w:r>
        <w:t>Ferrell,</w:t>
      </w:r>
      <w:r>
        <w:rPr>
          <w:spacing w:val="-5"/>
        </w:rPr>
        <w:t xml:space="preserve"> </w:t>
      </w:r>
      <w:r>
        <w:t>1996).</w:t>
      </w:r>
      <w:r>
        <w:rPr>
          <w:spacing w:val="-5"/>
        </w:rPr>
        <w:t xml:space="preserve"> </w:t>
      </w:r>
      <w:r>
        <w:t>In this paper, we argue that the attitudes and actions of the leaders directed towards employe</w:t>
      </w:r>
      <w:r>
        <w:t>es in tourist hotels contribute to the creation of a service</w:t>
      </w:r>
      <w:r>
        <w:rPr>
          <w:spacing w:val="-10"/>
        </w:rPr>
        <w:t xml:space="preserve"> </w:t>
      </w:r>
      <w:r>
        <w:t>climate.</w:t>
      </w:r>
    </w:p>
    <w:p w:rsidR="00BF4029" w:rsidRDefault="00BF4029">
      <w:pPr>
        <w:pStyle w:val="BodyText"/>
      </w:pPr>
    </w:p>
    <w:p w:rsidR="00BF4029" w:rsidRDefault="00A24DEF">
      <w:pPr>
        <w:pStyle w:val="BodyText"/>
        <w:spacing w:before="1"/>
        <w:ind w:left="104" w:right="114"/>
        <w:jc w:val="both"/>
      </w:pPr>
      <w:r>
        <w:t>Leaders who are committed to service quality will transcend self-interest, care and concern for employees and customers (Settoon, Bennett, &amp; Liden, 1996; Walumbwa, Harnell &amp; Oke, 2010).</w:t>
      </w:r>
      <w:r>
        <w:t xml:space="preserve"> These service leaders communicate to subordinates</w:t>
      </w:r>
      <w:r>
        <w:rPr>
          <w:spacing w:val="-11"/>
        </w:rPr>
        <w:t xml:space="preserve"> </w:t>
      </w:r>
      <w:r>
        <w:t>the</w:t>
      </w:r>
      <w:r>
        <w:rPr>
          <w:spacing w:val="-9"/>
        </w:rPr>
        <w:t xml:space="preserve"> </w:t>
      </w:r>
      <w:r>
        <w:t>importance</w:t>
      </w:r>
      <w:r>
        <w:rPr>
          <w:spacing w:val="-9"/>
        </w:rPr>
        <w:t xml:space="preserve"> </w:t>
      </w:r>
      <w:r>
        <w:t>of</w:t>
      </w:r>
      <w:r>
        <w:rPr>
          <w:spacing w:val="-8"/>
        </w:rPr>
        <w:t xml:space="preserve"> </w:t>
      </w:r>
      <w:r>
        <w:t>high-quality</w:t>
      </w:r>
      <w:r>
        <w:rPr>
          <w:spacing w:val="-11"/>
        </w:rPr>
        <w:t xml:space="preserve"> </w:t>
      </w:r>
      <w:r>
        <w:t>service</w:t>
      </w:r>
      <w:r>
        <w:rPr>
          <w:spacing w:val="-9"/>
        </w:rPr>
        <w:t xml:space="preserve"> </w:t>
      </w:r>
      <w:r>
        <w:t>delivery</w:t>
      </w:r>
      <w:r>
        <w:rPr>
          <w:spacing w:val="-10"/>
        </w:rPr>
        <w:t xml:space="preserve"> </w:t>
      </w:r>
      <w:r>
        <w:t>(Liao</w:t>
      </w:r>
      <w:r>
        <w:rPr>
          <w:spacing w:val="-9"/>
        </w:rPr>
        <w:t xml:space="preserve"> </w:t>
      </w:r>
      <w:r>
        <w:t>&amp;</w:t>
      </w:r>
      <w:r>
        <w:rPr>
          <w:spacing w:val="-8"/>
        </w:rPr>
        <w:t xml:space="preserve"> </w:t>
      </w:r>
      <w:r>
        <w:t>Chuang,</w:t>
      </w:r>
      <w:r>
        <w:rPr>
          <w:spacing w:val="-8"/>
        </w:rPr>
        <w:t xml:space="preserve"> </w:t>
      </w:r>
      <w:r>
        <w:t>2007). Further, they are likely to take initiatives to help their organizations and service employees delivering superior service quality (Ha</w:t>
      </w:r>
      <w:r>
        <w:t>rtline &amp; Ferrell, 1996). Based on social</w:t>
      </w:r>
      <w:r>
        <w:rPr>
          <w:spacing w:val="-12"/>
        </w:rPr>
        <w:t xml:space="preserve"> </w:t>
      </w:r>
      <w:r>
        <w:t>exchange</w:t>
      </w:r>
      <w:r>
        <w:rPr>
          <w:spacing w:val="-16"/>
        </w:rPr>
        <w:t xml:space="preserve"> </w:t>
      </w:r>
      <w:r>
        <w:t>theory</w:t>
      </w:r>
      <w:r>
        <w:rPr>
          <w:spacing w:val="-15"/>
        </w:rPr>
        <w:t xml:space="preserve"> </w:t>
      </w:r>
      <w:r>
        <w:t>(Blau,</w:t>
      </w:r>
      <w:r>
        <w:rPr>
          <w:spacing w:val="-10"/>
        </w:rPr>
        <w:t xml:space="preserve"> </w:t>
      </w:r>
      <w:r>
        <w:t>1968;</w:t>
      </w:r>
      <w:r>
        <w:rPr>
          <w:spacing w:val="-11"/>
        </w:rPr>
        <w:t xml:space="preserve"> </w:t>
      </w:r>
      <w:r>
        <w:t>Snape</w:t>
      </w:r>
      <w:r>
        <w:rPr>
          <w:spacing w:val="-14"/>
        </w:rPr>
        <w:t xml:space="preserve"> </w:t>
      </w:r>
      <w:r>
        <w:t>&amp;</w:t>
      </w:r>
      <w:r>
        <w:rPr>
          <w:spacing w:val="-14"/>
        </w:rPr>
        <w:t xml:space="preserve"> </w:t>
      </w:r>
      <w:r>
        <w:t>Redman,</w:t>
      </w:r>
      <w:r>
        <w:rPr>
          <w:spacing w:val="-12"/>
        </w:rPr>
        <w:t xml:space="preserve"> </w:t>
      </w:r>
      <w:r>
        <w:t>2010),</w:t>
      </w:r>
      <w:r>
        <w:rPr>
          <w:spacing w:val="-12"/>
        </w:rPr>
        <w:t xml:space="preserve"> </w:t>
      </w:r>
      <w:r>
        <w:t>positive</w:t>
      </w:r>
      <w:r>
        <w:rPr>
          <w:spacing w:val="-11"/>
        </w:rPr>
        <w:t xml:space="preserve"> </w:t>
      </w:r>
      <w:r>
        <w:t>attitudes</w:t>
      </w:r>
      <w:r>
        <w:rPr>
          <w:spacing w:val="-10"/>
        </w:rPr>
        <w:t xml:space="preserve"> </w:t>
      </w:r>
      <w:r>
        <w:t>and behavior from leaders (e.g. leaders show concerns for employees and customers) contribute to creating a social context in which employees perceive and interpret their organizational climate in a positive manner. Leaders “walking the walk” also convey</w:t>
      </w:r>
      <w:r>
        <w:rPr>
          <w:spacing w:val="-18"/>
        </w:rPr>
        <w:t xml:space="preserve"> </w:t>
      </w:r>
      <w:r>
        <w:t>t</w:t>
      </w:r>
      <w:r>
        <w:t>he</w:t>
      </w:r>
      <w:r>
        <w:rPr>
          <w:spacing w:val="-15"/>
        </w:rPr>
        <w:t xml:space="preserve"> </w:t>
      </w:r>
      <w:r>
        <w:t>importance</w:t>
      </w:r>
      <w:r>
        <w:rPr>
          <w:spacing w:val="-18"/>
        </w:rPr>
        <w:t xml:space="preserve"> </w:t>
      </w:r>
      <w:r>
        <w:t>of</w:t>
      </w:r>
      <w:r>
        <w:rPr>
          <w:spacing w:val="-14"/>
        </w:rPr>
        <w:t xml:space="preserve"> </w:t>
      </w:r>
      <w:r>
        <w:t>service</w:t>
      </w:r>
      <w:r>
        <w:rPr>
          <w:spacing w:val="-15"/>
        </w:rPr>
        <w:t xml:space="preserve"> </w:t>
      </w:r>
      <w:r>
        <w:t>and</w:t>
      </w:r>
      <w:r>
        <w:rPr>
          <w:spacing w:val="-17"/>
        </w:rPr>
        <w:t xml:space="preserve"> </w:t>
      </w:r>
      <w:r>
        <w:t>directly</w:t>
      </w:r>
      <w:r>
        <w:rPr>
          <w:spacing w:val="-20"/>
        </w:rPr>
        <w:t xml:space="preserve"> </w:t>
      </w:r>
      <w:r>
        <w:t>foster</w:t>
      </w:r>
      <w:r>
        <w:rPr>
          <w:spacing w:val="-16"/>
        </w:rPr>
        <w:t xml:space="preserve"> </w:t>
      </w:r>
      <w:r>
        <w:t>the</w:t>
      </w:r>
      <w:r>
        <w:rPr>
          <w:spacing w:val="-18"/>
        </w:rPr>
        <w:t xml:space="preserve"> </w:t>
      </w:r>
      <w:r>
        <w:t>cultural</w:t>
      </w:r>
      <w:r>
        <w:rPr>
          <w:spacing w:val="-15"/>
        </w:rPr>
        <w:t xml:space="preserve"> </w:t>
      </w:r>
      <w:r>
        <w:t>adaption</w:t>
      </w:r>
      <w:r>
        <w:rPr>
          <w:spacing w:val="-15"/>
        </w:rPr>
        <w:t xml:space="preserve"> </w:t>
      </w:r>
      <w:r>
        <w:t>of</w:t>
      </w:r>
      <w:r>
        <w:rPr>
          <w:spacing w:val="-18"/>
        </w:rPr>
        <w:t xml:space="preserve"> </w:t>
      </w:r>
      <w:r>
        <w:t>a</w:t>
      </w:r>
      <w:r>
        <w:rPr>
          <w:spacing w:val="-15"/>
        </w:rPr>
        <w:t xml:space="preserve"> </w:t>
      </w:r>
      <w:r>
        <w:t>service climate. Thus, we hypothesize</w:t>
      </w:r>
      <w:r>
        <w:rPr>
          <w:spacing w:val="-5"/>
        </w:rPr>
        <w:t xml:space="preserve"> </w:t>
      </w:r>
      <w:r>
        <w:t>that:</w:t>
      </w:r>
    </w:p>
    <w:p w:rsidR="00BF4029" w:rsidRDefault="00BF4029">
      <w:pPr>
        <w:pStyle w:val="BodyText"/>
        <w:spacing w:before="11"/>
        <w:rPr>
          <w:sz w:val="21"/>
        </w:rPr>
      </w:pPr>
    </w:p>
    <w:p w:rsidR="00BF4029" w:rsidRDefault="00A24DEF">
      <w:pPr>
        <w:ind w:left="104"/>
        <w:jc w:val="both"/>
        <w:rPr>
          <w:i/>
        </w:rPr>
      </w:pPr>
      <w:r>
        <w:rPr>
          <w:i/>
        </w:rPr>
        <w:t>H2. Leadership commitment to service quality positively influences service</w:t>
      </w:r>
      <w:r>
        <w:rPr>
          <w:i/>
          <w:spacing w:val="-27"/>
        </w:rPr>
        <w:t xml:space="preserve"> </w:t>
      </w:r>
      <w:r>
        <w:rPr>
          <w:i/>
        </w:rPr>
        <w:t>climate.</w:t>
      </w:r>
    </w:p>
    <w:p w:rsidR="00BF4029" w:rsidRDefault="00BF4029">
      <w:pPr>
        <w:pStyle w:val="BodyText"/>
        <w:rPr>
          <w:i/>
        </w:rPr>
      </w:pPr>
    </w:p>
    <w:p w:rsidR="00BF4029" w:rsidRDefault="00A24DEF">
      <w:pPr>
        <w:pStyle w:val="BodyText"/>
        <w:ind w:left="104" w:right="116"/>
        <w:jc w:val="both"/>
      </w:pPr>
      <w:r>
        <w:t>Similarly,</w:t>
      </w:r>
      <w:r>
        <w:rPr>
          <w:spacing w:val="-9"/>
        </w:rPr>
        <w:t xml:space="preserve"> </w:t>
      </w:r>
      <w:r>
        <w:t>service-oriented</w:t>
      </w:r>
      <w:r>
        <w:rPr>
          <w:spacing w:val="-8"/>
        </w:rPr>
        <w:t xml:space="preserve"> </w:t>
      </w:r>
      <w:r>
        <w:t>HR</w:t>
      </w:r>
      <w:r>
        <w:rPr>
          <w:spacing w:val="-10"/>
        </w:rPr>
        <w:t xml:space="preserve"> </w:t>
      </w:r>
      <w:r>
        <w:t>practices</w:t>
      </w:r>
      <w:r>
        <w:rPr>
          <w:spacing w:val="-8"/>
        </w:rPr>
        <w:t xml:space="preserve"> </w:t>
      </w:r>
      <w:r>
        <w:t>implemented</w:t>
      </w:r>
      <w:r>
        <w:rPr>
          <w:spacing w:val="-9"/>
        </w:rPr>
        <w:t xml:space="preserve"> </w:t>
      </w:r>
      <w:r>
        <w:t>i</w:t>
      </w:r>
      <w:r>
        <w:t>n</w:t>
      </w:r>
      <w:r>
        <w:rPr>
          <w:spacing w:val="-9"/>
        </w:rPr>
        <w:t xml:space="preserve"> </w:t>
      </w:r>
      <w:r>
        <w:t>an</w:t>
      </w:r>
      <w:r>
        <w:rPr>
          <w:spacing w:val="-9"/>
        </w:rPr>
        <w:t xml:space="preserve"> </w:t>
      </w:r>
      <w:r>
        <w:t>organization</w:t>
      </w:r>
      <w:r>
        <w:rPr>
          <w:spacing w:val="-9"/>
        </w:rPr>
        <w:t xml:space="preserve"> </w:t>
      </w:r>
      <w:r>
        <w:t>signal</w:t>
      </w:r>
      <w:r>
        <w:rPr>
          <w:spacing w:val="-10"/>
        </w:rPr>
        <w:t xml:space="preserve"> </w:t>
      </w:r>
      <w:r>
        <w:t>to</w:t>
      </w:r>
      <w:r>
        <w:rPr>
          <w:spacing w:val="-9"/>
        </w:rPr>
        <w:t xml:space="preserve"> </w:t>
      </w:r>
      <w:r>
        <w:t>its service</w:t>
      </w:r>
      <w:r>
        <w:rPr>
          <w:spacing w:val="-13"/>
        </w:rPr>
        <w:t xml:space="preserve"> </w:t>
      </w:r>
      <w:r>
        <w:t>employees</w:t>
      </w:r>
      <w:r>
        <w:rPr>
          <w:spacing w:val="-16"/>
        </w:rPr>
        <w:t xml:space="preserve"> </w:t>
      </w:r>
      <w:r>
        <w:t>the</w:t>
      </w:r>
      <w:r>
        <w:rPr>
          <w:spacing w:val="-16"/>
        </w:rPr>
        <w:t xml:space="preserve"> </w:t>
      </w:r>
      <w:r>
        <w:t>extent</w:t>
      </w:r>
      <w:r>
        <w:rPr>
          <w:spacing w:val="-17"/>
        </w:rPr>
        <w:t xml:space="preserve"> </w:t>
      </w:r>
      <w:r>
        <w:t>to</w:t>
      </w:r>
      <w:r>
        <w:rPr>
          <w:spacing w:val="-13"/>
        </w:rPr>
        <w:t xml:space="preserve"> </w:t>
      </w:r>
      <w:r>
        <w:t>which</w:t>
      </w:r>
      <w:r>
        <w:rPr>
          <w:spacing w:val="-16"/>
        </w:rPr>
        <w:t xml:space="preserve"> </w:t>
      </w:r>
      <w:r>
        <w:t>the</w:t>
      </w:r>
      <w:r>
        <w:rPr>
          <w:spacing w:val="-16"/>
        </w:rPr>
        <w:t xml:space="preserve"> </w:t>
      </w:r>
      <w:r>
        <w:t>organization</w:t>
      </w:r>
      <w:r>
        <w:rPr>
          <w:spacing w:val="-12"/>
        </w:rPr>
        <w:t xml:space="preserve"> </w:t>
      </w:r>
      <w:r>
        <w:t>expects,</w:t>
      </w:r>
      <w:r>
        <w:rPr>
          <w:spacing w:val="-15"/>
        </w:rPr>
        <w:t xml:space="preserve"> </w:t>
      </w:r>
      <w:r>
        <w:t>rewards</w:t>
      </w:r>
      <w:r>
        <w:rPr>
          <w:spacing w:val="-15"/>
        </w:rPr>
        <w:t xml:space="preserve"> </w:t>
      </w:r>
      <w:r>
        <w:t>and</w:t>
      </w:r>
      <w:r>
        <w:rPr>
          <w:spacing w:val="-10"/>
        </w:rPr>
        <w:t xml:space="preserve"> </w:t>
      </w:r>
      <w:r>
        <w:t>values good service provision, thus affecting employee perceptions of service climate (Chuang &amp;</w:t>
      </w:r>
      <w:r>
        <w:t xml:space="preserve"> Liao, 2010). This is because employment relationships in a firm can be seen</w:t>
      </w:r>
      <w:r>
        <w:rPr>
          <w:spacing w:val="-12"/>
        </w:rPr>
        <w:t xml:space="preserve"> </w:t>
      </w:r>
      <w:r>
        <w:t>as</w:t>
      </w:r>
      <w:r>
        <w:rPr>
          <w:spacing w:val="-12"/>
        </w:rPr>
        <w:t xml:space="preserve"> </w:t>
      </w:r>
      <w:r>
        <w:t>a</w:t>
      </w:r>
      <w:r>
        <w:rPr>
          <w:spacing w:val="-15"/>
        </w:rPr>
        <w:t xml:space="preserve"> </w:t>
      </w:r>
      <w:r>
        <w:t>social</w:t>
      </w:r>
      <w:r>
        <w:rPr>
          <w:spacing w:val="-14"/>
        </w:rPr>
        <w:t xml:space="preserve"> </w:t>
      </w:r>
      <w:r>
        <w:t>exchange,</w:t>
      </w:r>
      <w:r>
        <w:rPr>
          <w:spacing w:val="-14"/>
        </w:rPr>
        <w:t xml:space="preserve"> </w:t>
      </w:r>
      <w:r>
        <w:t>the</w:t>
      </w:r>
      <w:r>
        <w:rPr>
          <w:spacing w:val="-14"/>
        </w:rPr>
        <w:t xml:space="preserve"> </w:t>
      </w:r>
      <w:r>
        <w:t>quality</w:t>
      </w:r>
      <w:r>
        <w:rPr>
          <w:spacing w:val="-15"/>
        </w:rPr>
        <w:t xml:space="preserve"> </w:t>
      </w:r>
      <w:r>
        <w:t>which</w:t>
      </w:r>
      <w:r>
        <w:rPr>
          <w:spacing w:val="-12"/>
        </w:rPr>
        <w:t xml:space="preserve"> </w:t>
      </w:r>
      <w:r>
        <w:t>leads</w:t>
      </w:r>
      <w:r>
        <w:rPr>
          <w:spacing w:val="-12"/>
        </w:rPr>
        <w:t xml:space="preserve"> </w:t>
      </w:r>
      <w:r>
        <w:t>to</w:t>
      </w:r>
      <w:r>
        <w:rPr>
          <w:spacing w:val="-14"/>
        </w:rPr>
        <w:t xml:space="preserve"> </w:t>
      </w:r>
      <w:r>
        <w:t>unspoken</w:t>
      </w:r>
      <w:r>
        <w:rPr>
          <w:spacing w:val="-15"/>
        </w:rPr>
        <w:t xml:space="preserve"> </w:t>
      </w:r>
      <w:r>
        <w:t>obligations</w:t>
      </w:r>
      <w:r>
        <w:rPr>
          <w:spacing w:val="-18"/>
        </w:rPr>
        <w:t xml:space="preserve"> </w:t>
      </w:r>
      <w:r>
        <w:t>between</w:t>
      </w:r>
    </w:p>
    <w:p w:rsidR="00BF4029" w:rsidRDefault="00BF4029">
      <w:pPr>
        <w:jc w:val="both"/>
        <w:sectPr w:rsidR="00BF4029">
          <w:pgSz w:w="9980" w:h="14180"/>
          <w:pgMar w:top="1240" w:right="840" w:bottom="1100" w:left="860" w:header="625" w:footer="911" w:gutter="0"/>
          <w:cols w:space="720"/>
        </w:sectPr>
      </w:pPr>
    </w:p>
    <w:p w:rsidR="00BF4029" w:rsidRDefault="00A24DEF">
      <w:pPr>
        <w:pStyle w:val="BodyText"/>
        <w:spacing w:before="87"/>
        <w:ind w:left="104" w:right="117"/>
        <w:jc w:val="both"/>
      </w:pPr>
      <w:r>
        <w:lastRenderedPageBreak/>
        <w:t>the parties (Blau, 1968). The process of social exchange is initiated when the firm</w:t>
      </w:r>
      <w:r>
        <w:t xml:space="preserve"> signals</w:t>
      </w:r>
      <w:r>
        <w:rPr>
          <w:spacing w:val="-16"/>
        </w:rPr>
        <w:t xml:space="preserve"> </w:t>
      </w:r>
      <w:r>
        <w:t>to</w:t>
      </w:r>
      <w:r>
        <w:rPr>
          <w:spacing w:val="-13"/>
        </w:rPr>
        <w:t xml:space="preserve"> </w:t>
      </w:r>
      <w:r>
        <w:t>employees</w:t>
      </w:r>
      <w:r>
        <w:rPr>
          <w:spacing w:val="-13"/>
        </w:rPr>
        <w:t xml:space="preserve"> </w:t>
      </w:r>
      <w:r>
        <w:t>that</w:t>
      </w:r>
      <w:r>
        <w:rPr>
          <w:spacing w:val="-15"/>
        </w:rPr>
        <w:t xml:space="preserve"> </w:t>
      </w:r>
      <w:r>
        <w:t>it</w:t>
      </w:r>
      <w:r>
        <w:rPr>
          <w:spacing w:val="-12"/>
        </w:rPr>
        <w:t xml:space="preserve"> </w:t>
      </w:r>
      <w:r>
        <w:t>cares</w:t>
      </w:r>
      <w:r>
        <w:rPr>
          <w:spacing w:val="-13"/>
        </w:rPr>
        <w:t xml:space="preserve"> </w:t>
      </w:r>
      <w:r>
        <w:t>about</w:t>
      </w:r>
      <w:r>
        <w:rPr>
          <w:spacing w:val="-15"/>
        </w:rPr>
        <w:t xml:space="preserve"> </w:t>
      </w:r>
      <w:r>
        <w:t>their</w:t>
      </w:r>
      <w:r>
        <w:rPr>
          <w:spacing w:val="-15"/>
        </w:rPr>
        <w:t xml:space="preserve"> </w:t>
      </w:r>
      <w:r>
        <w:t>well-being</w:t>
      </w:r>
      <w:r>
        <w:rPr>
          <w:spacing w:val="-12"/>
        </w:rPr>
        <w:t xml:space="preserve"> </w:t>
      </w:r>
      <w:r>
        <w:t>and</w:t>
      </w:r>
      <w:r>
        <w:rPr>
          <w:spacing w:val="-16"/>
        </w:rPr>
        <w:t xml:space="preserve"> </w:t>
      </w:r>
      <w:r>
        <w:t>individual</w:t>
      </w:r>
      <w:r>
        <w:rPr>
          <w:spacing w:val="-14"/>
        </w:rPr>
        <w:t xml:space="preserve"> </w:t>
      </w:r>
      <w:r>
        <w:t>interests,</w:t>
      </w:r>
      <w:r>
        <w:rPr>
          <w:spacing w:val="-14"/>
        </w:rPr>
        <w:t xml:space="preserve"> </w:t>
      </w:r>
      <w:r>
        <w:t>and values</w:t>
      </w:r>
      <w:r>
        <w:rPr>
          <w:spacing w:val="-6"/>
        </w:rPr>
        <w:t xml:space="preserve"> </w:t>
      </w:r>
      <w:r>
        <w:t>their</w:t>
      </w:r>
      <w:r>
        <w:rPr>
          <w:spacing w:val="-4"/>
        </w:rPr>
        <w:t xml:space="preserve"> </w:t>
      </w:r>
      <w:r>
        <w:t>contributions.</w:t>
      </w:r>
      <w:r>
        <w:rPr>
          <w:spacing w:val="-6"/>
        </w:rPr>
        <w:t xml:space="preserve"> </w:t>
      </w:r>
      <w:r>
        <w:t>In</w:t>
      </w:r>
      <w:r>
        <w:rPr>
          <w:spacing w:val="-7"/>
        </w:rPr>
        <w:t xml:space="preserve"> </w:t>
      </w:r>
      <w:r>
        <w:t>turn,</w:t>
      </w:r>
      <w:r>
        <w:rPr>
          <w:spacing w:val="-6"/>
        </w:rPr>
        <w:t xml:space="preserve"> </w:t>
      </w:r>
      <w:r>
        <w:t>employees</w:t>
      </w:r>
      <w:r>
        <w:rPr>
          <w:spacing w:val="-5"/>
        </w:rPr>
        <w:t xml:space="preserve"> </w:t>
      </w:r>
      <w:r>
        <w:t>will</w:t>
      </w:r>
      <w:r>
        <w:rPr>
          <w:spacing w:val="-6"/>
        </w:rPr>
        <w:t xml:space="preserve"> </w:t>
      </w:r>
      <w:r>
        <w:t>be</w:t>
      </w:r>
      <w:r>
        <w:rPr>
          <w:spacing w:val="-5"/>
        </w:rPr>
        <w:t xml:space="preserve"> </w:t>
      </w:r>
      <w:r>
        <w:t>motivated</w:t>
      </w:r>
      <w:r>
        <w:rPr>
          <w:spacing w:val="-6"/>
        </w:rPr>
        <w:t xml:space="preserve"> </w:t>
      </w:r>
      <w:r>
        <w:t>and</w:t>
      </w:r>
      <w:r>
        <w:rPr>
          <w:spacing w:val="-7"/>
        </w:rPr>
        <w:t xml:space="preserve"> </w:t>
      </w:r>
      <w:r>
        <w:t>reciprocate</w:t>
      </w:r>
      <w:r>
        <w:rPr>
          <w:spacing w:val="-4"/>
        </w:rPr>
        <w:t xml:space="preserve"> </w:t>
      </w:r>
      <w:r>
        <w:t>with positive work outcomes (Gould-Williams, 2007).</w:t>
      </w:r>
    </w:p>
    <w:p w:rsidR="00BF4029" w:rsidRDefault="00BF4029">
      <w:pPr>
        <w:pStyle w:val="BodyText"/>
      </w:pPr>
    </w:p>
    <w:p w:rsidR="00BF4029" w:rsidRDefault="00A24DEF">
      <w:pPr>
        <w:pStyle w:val="BodyText"/>
        <w:ind w:left="104" w:right="115"/>
        <w:jc w:val="both"/>
      </w:pPr>
      <w:r>
        <w:t>Organizations that recruit and select service employees with service-oriented personalities and capabilities can send the message about how organizations emphasize the importance of service quality, thus can facilitate the development of a strong service c</w:t>
      </w:r>
      <w:r>
        <w:t>limate (Schneider &amp; White, 2004). Further, the provision of adequate training, appropriate decision making authority, and rewarding service- related performance can result in positive employee perceptions of service climate and reduce obstacles for service</w:t>
      </w:r>
      <w:r>
        <w:t xml:space="preserve"> performance (Lux, Jex &amp; Hansen, 1996). Hence, we hypothesize that:</w:t>
      </w:r>
    </w:p>
    <w:p w:rsidR="00BF4029" w:rsidRDefault="00BF4029">
      <w:pPr>
        <w:pStyle w:val="BodyText"/>
        <w:spacing w:before="1"/>
      </w:pPr>
    </w:p>
    <w:p w:rsidR="00BF4029" w:rsidRDefault="00A24DEF">
      <w:pPr>
        <w:pStyle w:val="BodyText"/>
        <w:ind w:left="104"/>
        <w:jc w:val="both"/>
      </w:pPr>
      <w:r>
        <w:rPr>
          <w:i/>
        </w:rPr>
        <w:t xml:space="preserve">H3. </w:t>
      </w:r>
      <w:r>
        <w:t>Service-oriented human resource practices positively influence service climate.</w:t>
      </w:r>
    </w:p>
    <w:p w:rsidR="00BF4029" w:rsidRDefault="00BF4029">
      <w:pPr>
        <w:pStyle w:val="BodyText"/>
        <w:spacing w:before="7"/>
        <w:rPr>
          <w:sz w:val="21"/>
        </w:rPr>
      </w:pPr>
    </w:p>
    <w:p w:rsidR="00BF4029" w:rsidRDefault="00A24DEF">
      <w:pPr>
        <w:pStyle w:val="Heading1"/>
        <w:spacing w:before="1"/>
      </w:pPr>
      <w:r>
        <w:t>The moderating role of competitive</w:t>
      </w:r>
      <w:r>
        <w:rPr>
          <w:spacing w:val="-10"/>
        </w:rPr>
        <w:t xml:space="preserve"> </w:t>
      </w:r>
      <w:r>
        <w:t>intensity</w:t>
      </w:r>
    </w:p>
    <w:p w:rsidR="00BF4029" w:rsidRDefault="00BF4029">
      <w:pPr>
        <w:pStyle w:val="BodyText"/>
        <w:spacing w:before="2"/>
        <w:rPr>
          <w:b/>
        </w:rPr>
      </w:pPr>
    </w:p>
    <w:p w:rsidR="00BF4029" w:rsidRDefault="00A24DEF">
      <w:pPr>
        <w:pStyle w:val="BodyText"/>
        <w:ind w:left="104" w:right="116"/>
        <w:jc w:val="both"/>
      </w:pPr>
      <w:r>
        <w:t>Service climate researchers have not examined the conditional effect of external uncontrollable factors external to the organization on the relationships between organizational</w:t>
      </w:r>
      <w:r>
        <w:rPr>
          <w:spacing w:val="-16"/>
        </w:rPr>
        <w:t xml:space="preserve"> </w:t>
      </w:r>
      <w:r>
        <w:t>factors</w:t>
      </w:r>
      <w:r>
        <w:rPr>
          <w:spacing w:val="-15"/>
        </w:rPr>
        <w:t xml:space="preserve"> </w:t>
      </w:r>
      <w:r>
        <w:t>and</w:t>
      </w:r>
      <w:r>
        <w:rPr>
          <w:spacing w:val="-12"/>
        </w:rPr>
        <w:t xml:space="preserve"> </w:t>
      </w:r>
      <w:r>
        <w:t>service</w:t>
      </w:r>
      <w:r>
        <w:rPr>
          <w:spacing w:val="-12"/>
        </w:rPr>
        <w:t xml:space="preserve"> </w:t>
      </w:r>
      <w:r>
        <w:t>climate.</w:t>
      </w:r>
      <w:r>
        <w:rPr>
          <w:spacing w:val="-18"/>
        </w:rPr>
        <w:t xml:space="preserve"> </w:t>
      </w:r>
      <w:r>
        <w:rPr>
          <w:spacing w:val="3"/>
        </w:rPr>
        <w:t>We</w:t>
      </w:r>
      <w:r>
        <w:rPr>
          <w:spacing w:val="-18"/>
        </w:rPr>
        <w:t xml:space="preserve"> </w:t>
      </w:r>
      <w:r>
        <w:t>argue</w:t>
      </w:r>
      <w:r>
        <w:rPr>
          <w:spacing w:val="-12"/>
        </w:rPr>
        <w:t xml:space="preserve"> </w:t>
      </w:r>
      <w:r>
        <w:t>that</w:t>
      </w:r>
      <w:r>
        <w:rPr>
          <w:spacing w:val="-14"/>
        </w:rPr>
        <w:t xml:space="preserve"> </w:t>
      </w:r>
      <w:r>
        <w:t>an</w:t>
      </w:r>
      <w:r>
        <w:rPr>
          <w:spacing w:val="-15"/>
        </w:rPr>
        <w:t xml:space="preserve"> </w:t>
      </w:r>
      <w:r>
        <w:t>external</w:t>
      </w:r>
      <w:r>
        <w:rPr>
          <w:spacing w:val="-18"/>
        </w:rPr>
        <w:t xml:space="preserve"> </w:t>
      </w:r>
      <w:r>
        <w:t>factor</w:t>
      </w:r>
      <w:r>
        <w:rPr>
          <w:spacing w:val="-17"/>
        </w:rPr>
        <w:t xml:space="preserve"> </w:t>
      </w:r>
      <w:r>
        <w:t>that</w:t>
      </w:r>
      <w:r>
        <w:rPr>
          <w:spacing w:val="-16"/>
        </w:rPr>
        <w:t xml:space="preserve"> </w:t>
      </w:r>
      <w:r>
        <w:t xml:space="preserve">may impinge </w:t>
      </w:r>
      <w:r>
        <w:t>on service climate is competitive intensity in the tourist hotel industry. Competitive intensity refers to the degree to which a company faces competition in a certain market (Grewal &amp; Tansuhaj, 2001). Under highly competitive conditions, tourist hotels ne</w:t>
      </w:r>
      <w:r>
        <w:t>ed to utilize and integrate their firm resources more extensively to gain a positive service climate. As market competition becomes increasingly intense, tourist hotels will execute various tactics to attract key service employees. Under conditions of high</w:t>
      </w:r>
      <w:r>
        <w:t xml:space="preserve"> competitive intensity, employees will compare the service practices in their firm with other companies. As such it is argued that the higher the competitive</w:t>
      </w:r>
      <w:r>
        <w:rPr>
          <w:spacing w:val="-4"/>
        </w:rPr>
        <w:t xml:space="preserve"> </w:t>
      </w:r>
      <w:r>
        <w:t>intensity,</w:t>
      </w:r>
      <w:r>
        <w:rPr>
          <w:spacing w:val="-4"/>
        </w:rPr>
        <w:t xml:space="preserve"> </w:t>
      </w:r>
      <w:r>
        <w:t>the</w:t>
      </w:r>
      <w:r>
        <w:rPr>
          <w:spacing w:val="-6"/>
        </w:rPr>
        <w:t xml:space="preserve"> </w:t>
      </w:r>
      <w:r>
        <w:t>efforts</w:t>
      </w:r>
      <w:r>
        <w:rPr>
          <w:spacing w:val="-5"/>
        </w:rPr>
        <w:t xml:space="preserve"> </w:t>
      </w:r>
      <w:r>
        <w:t>required</w:t>
      </w:r>
      <w:r>
        <w:rPr>
          <w:spacing w:val="-8"/>
        </w:rPr>
        <w:t xml:space="preserve"> </w:t>
      </w:r>
      <w:r>
        <w:t>to</w:t>
      </w:r>
      <w:r>
        <w:rPr>
          <w:spacing w:val="-4"/>
        </w:rPr>
        <w:t xml:space="preserve"> </w:t>
      </w:r>
      <w:r>
        <w:t>draw</w:t>
      </w:r>
      <w:r>
        <w:rPr>
          <w:spacing w:val="-6"/>
        </w:rPr>
        <w:t xml:space="preserve"> </w:t>
      </w:r>
      <w:r>
        <w:t>service</w:t>
      </w:r>
      <w:r>
        <w:rPr>
          <w:spacing w:val="-3"/>
        </w:rPr>
        <w:t xml:space="preserve"> </w:t>
      </w:r>
      <w:r>
        <w:t>practices</w:t>
      </w:r>
      <w:r>
        <w:rPr>
          <w:spacing w:val="-3"/>
        </w:rPr>
        <w:t xml:space="preserve"> </w:t>
      </w:r>
      <w:r>
        <w:t>such</w:t>
      </w:r>
      <w:r>
        <w:rPr>
          <w:spacing w:val="-4"/>
        </w:rPr>
        <w:t xml:space="preserve"> </w:t>
      </w:r>
      <w:r>
        <w:t>as</w:t>
      </w:r>
      <w:r>
        <w:rPr>
          <w:spacing w:val="-5"/>
        </w:rPr>
        <w:t xml:space="preserve"> </w:t>
      </w:r>
      <w:r>
        <w:t>service- oriented HR practices t</w:t>
      </w:r>
      <w:r>
        <w:t>o enhance service climate become more difficult. On the basis of the above arguments, we propose</w:t>
      </w:r>
      <w:r>
        <w:rPr>
          <w:spacing w:val="-4"/>
        </w:rPr>
        <w:t xml:space="preserve"> </w:t>
      </w:r>
      <w:r>
        <w:t>that:</w:t>
      </w:r>
    </w:p>
    <w:p w:rsidR="00BF4029" w:rsidRDefault="00BF4029">
      <w:pPr>
        <w:pStyle w:val="BodyText"/>
        <w:spacing w:before="1"/>
      </w:pPr>
    </w:p>
    <w:p w:rsidR="00BF4029" w:rsidRDefault="00A24DEF">
      <w:pPr>
        <w:ind w:left="104" w:right="121"/>
        <w:jc w:val="both"/>
        <w:rPr>
          <w:i/>
        </w:rPr>
      </w:pPr>
      <w:r>
        <w:rPr>
          <w:i/>
        </w:rPr>
        <w:t>H4.</w:t>
      </w:r>
      <w:r>
        <w:rPr>
          <w:i/>
          <w:spacing w:val="-11"/>
        </w:rPr>
        <w:t xml:space="preserve"> </w:t>
      </w:r>
      <w:r>
        <w:rPr>
          <w:i/>
        </w:rPr>
        <w:t>Competitive</w:t>
      </w:r>
      <w:r>
        <w:rPr>
          <w:i/>
          <w:spacing w:val="-14"/>
        </w:rPr>
        <w:t xml:space="preserve"> </w:t>
      </w:r>
      <w:r>
        <w:rPr>
          <w:i/>
        </w:rPr>
        <w:t>intensity</w:t>
      </w:r>
      <w:r>
        <w:rPr>
          <w:i/>
          <w:spacing w:val="-13"/>
        </w:rPr>
        <w:t xml:space="preserve"> </w:t>
      </w:r>
      <w:r>
        <w:rPr>
          <w:i/>
        </w:rPr>
        <w:t>in</w:t>
      </w:r>
      <w:r>
        <w:rPr>
          <w:i/>
          <w:spacing w:val="-13"/>
        </w:rPr>
        <w:t xml:space="preserve"> </w:t>
      </w:r>
      <w:r>
        <w:rPr>
          <w:i/>
        </w:rPr>
        <w:t>tourist</w:t>
      </w:r>
      <w:r>
        <w:rPr>
          <w:i/>
          <w:spacing w:val="-13"/>
        </w:rPr>
        <w:t xml:space="preserve"> </w:t>
      </w:r>
      <w:r>
        <w:rPr>
          <w:i/>
        </w:rPr>
        <w:t>hotel</w:t>
      </w:r>
      <w:r>
        <w:rPr>
          <w:i/>
          <w:spacing w:val="-15"/>
        </w:rPr>
        <w:t xml:space="preserve"> </w:t>
      </w:r>
      <w:r>
        <w:rPr>
          <w:i/>
        </w:rPr>
        <w:t>industry</w:t>
      </w:r>
      <w:r>
        <w:rPr>
          <w:i/>
          <w:spacing w:val="-13"/>
        </w:rPr>
        <w:t xml:space="preserve"> </w:t>
      </w:r>
      <w:r>
        <w:rPr>
          <w:i/>
        </w:rPr>
        <w:t>negatively</w:t>
      </w:r>
      <w:r>
        <w:rPr>
          <w:i/>
          <w:spacing w:val="-13"/>
        </w:rPr>
        <w:t xml:space="preserve"> </w:t>
      </w:r>
      <w:r>
        <w:rPr>
          <w:i/>
        </w:rPr>
        <w:t>moderates</w:t>
      </w:r>
      <w:r>
        <w:rPr>
          <w:i/>
          <w:spacing w:val="-15"/>
        </w:rPr>
        <w:t xml:space="preserve"> </w:t>
      </w:r>
      <w:r>
        <w:rPr>
          <w:i/>
        </w:rPr>
        <w:t>the</w:t>
      </w:r>
      <w:r>
        <w:rPr>
          <w:i/>
          <w:spacing w:val="-14"/>
        </w:rPr>
        <w:t xml:space="preserve"> </w:t>
      </w:r>
      <w:r>
        <w:rPr>
          <w:i/>
        </w:rPr>
        <w:t>influence of service-oriented HR practices on service</w:t>
      </w:r>
      <w:r>
        <w:rPr>
          <w:i/>
          <w:spacing w:val="-5"/>
        </w:rPr>
        <w:t xml:space="preserve"> </w:t>
      </w:r>
      <w:r>
        <w:rPr>
          <w:i/>
        </w:rPr>
        <w:t>climate.</w:t>
      </w:r>
    </w:p>
    <w:p w:rsidR="00BF4029" w:rsidRDefault="00BF4029">
      <w:pPr>
        <w:pStyle w:val="BodyText"/>
        <w:spacing w:before="11"/>
        <w:rPr>
          <w:i/>
          <w:sz w:val="21"/>
        </w:rPr>
      </w:pPr>
    </w:p>
    <w:p w:rsidR="00BF4029" w:rsidRDefault="00A24DEF">
      <w:pPr>
        <w:pStyle w:val="Heading1"/>
      </w:pPr>
      <w:r>
        <w:t>Service climate as a mediator</w:t>
      </w:r>
    </w:p>
    <w:p w:rsidR="00BF4029" w:rsidRDefault="00BF4029">
      <w:pPr>
        <w:pStyle w:val="BodyText"/>
        <w:rPr>
          <w:b/>
        </w:rPr>
      </w:pPr>
    </w:p>
    <w:p w:rsidR="00BF4029" w:rsidRDefault="00A24DEF">
      <w:pPr>
        <w:pStyle w:val="BodyText"/>
        <w:spacing w:before="1"/>
        <w:ind w:left="104" w:right="117"/>
        <w:jc w:val="both"/>
      </w:pPr>
      <w:r>
        <w:t>Prior</w:t>
      </w:r>
      <w:r>
        <w:rPr>
          <w:spacing w:val="-8"/>
        </w:rPr>
        <w:t xml:space="preserve"> </w:t>
      </w:r>
      <w:r>
        <w:t>studies</w:t>
      </w:r>
      <w:r>
        <w:rPr>
          <w:spacing w:val="-9"/>
        </w:rPr>
        <w:t xml:space="preserve"> </w:t>
      </w:r>
      <w:r>
        <w:t>on</w:t>
      </w:r>
      <w:r>
        <w:rPr>
          <w:spacing w:val="-11"/>
        </w:rPr>
        <w:t xml:space="preserve"> </w:t>
      </w:r>
      <w:r>
        <w:t>service</w:t>
      </w:r>
      <w:r>
        <w:rPr>
          <w:spacing w:val="-9"/>
        </w:rPr>
        <w:t xml:space="preserve"> </w:t>
      </w:r>
      <w:r>
        <w:t>climate</w:t>
      </w:r>
      <w:r>
        <w:rPr>
          <w:spacing w:val="-7"/>
        </w:rPr>
        <w:t xml:space="preserve"> </w:t>
      </w:r>
      <w:r>
        <w:t>(Hong</w:t>
      </w:r>
      <w:r>
        <w:rPr>
          <w:spacing w:val="-7"/>
        </w:rPr>
        <w:t xml:space="preserve"> </w:t>
      </w:r>
      <w:r>
        <w:t>et</w:t>
      </w:r>
      <w:r>
        <w:rPr>
          <w:spacing w:val="-8"/>
        </w:rPr>
        <w:t xml:space="preserve"> </w:t>
      </w:r>
      <w:r>
        <w:t>al.,</w:t>
      </w:r>
      <w:r>
        <w:rPr>
          <w:spacing w:val="-9"/>
        </w:rPr>
        <w:t xml:space="preserve"> </w:t>
      </w:r>
      <w:r>
        <w:t>2013;</w:t>
      </w:r>
      <w:r>
        <w:rPr>
          <w:spacing w:val="-10"/>
        </w:rPr>
        <w:t xml:space="preserve"> </w:t>
      </w:r>
      <w:r>
        <w:t>Salanova</w:t>
      </w:r>
      <w:r>
        <w:rPr>
          <w:spacing w:val="-8"/>
        </w:rPr>
        <w:t xml:space="preserve"> </w:t>
      </w:r>
      <w:r>
        <w:t>et</w:t>
      </w:r>
      <w:r>
        <w:rPr>
          <w:spacing w:val="-8"/>
        </w:rPr>
        <w:t xml:space="preserve"> </w:t>
      </w:r>
      <w:r>
        <w:t>al.,</w:t>
      </w:r>
      <w:r>
        <w:rPr>
          <w:spacing w:val="-7"/>
        </w:rPr>
        <w:t xml:space="preserve"> </w:t>
      </w:r>
      <w:r>
        <w:t>2005;</w:t>
      </w:r>
      <w:r>
        <w:rPr>
          <w:spacing w:val="-8"/>
        </w:rPr>
        <w:t xml:space="preserve"> </w:t>
      </w:r>
      <w:r>
        <w:t>Salvaggio et al., 2007) have indicated that when service tasks are facilitated by supportive leadership and adequate resources, service employees wil</w:t>
      </w:r>
      <w:r>
        <w:t>l shape perceptions of what behaviors are expected, and they will do their best to satisfy customer needs. For example, Salanova et al. (2005) find that organizational resources (i.e.</w:t>
      </w:r>
      <w:r>
        <w:rPr>
          <w:spacing w:val="-43"/>
        </w:rPr>
        <w:t xml:space="preserve"> </w:t>
      </w:r>
      <w:r>
        <w:t xml:space="preserve">training, autonomy) are positively related to service climate in hotels </w:t>
      </w:r>
      <w:r>
        <w:t>and restaurants, which in turn predicts employee performance. Similarly, Liao and Chuang (2007) suggest that leadership influences employee service attitude and behavior by</w:t>
      </w:r>
      <w:r>
        <w:rPr>
          <w:spacing w:val="3"/>
        </w:rPr>
        <w:t xml:space="preserve"> </w:t>
      </w:r>
      <w:r>
        <w:t>transforming</w:t>
      </w:r>
    </w:p>
    <w:p w:rsidR="00BF4029" w:rsidRDefault="00BF4029">
      <w:pPr>
        <w:jc w:val="both"/>
        <w:sectPr w:rsidR="00BF4029">
          <w:pgSz w:w="9980" w:h="14180"/>
          <w:pgMar w:top="1240" w:right="840" w:bottom="1100" w:left="860" w:header="625" w:footer="911" w:gutter="0"/>
          <w:cols w:space="720"/>
        </w:sectPr>
      </w:pPr>
    </w:p>
    <w:p w:rsidR="00BF4029" w:rsidRDefault="00A24DEF">
      <w:pPr>
        <w:pStyle w:val="BodyText"/>
        <w:spacing w:before="87"/>
        <w:ind w:left="104" w:right="121"/>
        <w:jc w:val="both"/>
      </w:pPr>
      <w:r>
        <w:lastRenderedPageBreak/>
        <w:t>a positive service climate to support service excell</w:t>
      </w:r>
      <w:r>
        <w:t>ence goals. When employees working in organizations perceive that their organizations provide sufficient support and remove obstacles for promoting excellent services, they would recognize and share perception that delivering superior services is crucial f</w:t>
      </w:r>
      <w:r>
        <w:t>or the competitive</w:t>
      </w:r>
    </w:p>
    <w:p w:rsidR="00BF4029" w:rsidRDefault="00BF4029">
      <w:pPr>
        <w:pStyle w:val="BodyText"/>
        <w:spacing w:before="10"/>
        <w:rPr>
          <w:sz w:val="32"/>
        </w:rPr>
      </w:pPr>
    </w:p>
    <w:p w:rsidR="00BF4029" w:rsidRDefault="00A24DEF">
      <w:pPr>
        <w:pStyle w:val="Heading1"/>
        <w:jc w:val="left"/>
      </w:pPr>
      <w:r>
        <w:t>Methodology</w:t>
      </w:r>
    </w:p>
    <w:p w:rsidR="00BF4029" w:rsidRDefault="00A24DEF">
      <w:pPr>
        <w:spacing w:before="126"/>
        <w:ind w:left="104"/>
        <w:rPr>
          <w:b/>
        </w:rPr>
      </w:pPr>
      <w:r>
        <w:rPr>
          <w:b/>
        </w:rPr>
        <w:t>Data collection and sample</w:t>
      </w:r>
    </w:p>
    <w:p w:rsidR="00BF4029" w:rsidRDefault="00A24DEF">
      <w:pPr>
        <w:pStyle w:val="BodyText"/>
        <w:spacing w:before="129"/>
        <w:ind w:left="104" w:right="113"/>
        <w:jc w:val="both"/>
      </w:pPr>
      <w:r>
        <w:t>The</w:t>
      </w:r>
      <w:r>
        <w:rPr>
          <w:spacing w:val="-7"/>
        </w:rPr>
        <w:t xml:space="preserve"> </w:t>
      </w:r>
      <w:r>
        <w:t>sample</w:t>
      </w:r>
      <w:r>
        <w:rPr>
          <w:spacing w:val="-6"/>
        </w:rPr>
        <w:t xml:space="preserve"> </w:t>
      </w:r>
      <w:r>
        <w:t>for</w:t>
      </w:r>
      <w:r>
        <w:rPr>
          <w:spacing w:val="-5"/>
        </w:rPr>
        <w:t xml:space="preserve"> </w:t>
      </w:r>
      <w:r>
        <w:t>our</w:t>
      </w:r>
      <w:r>
        <w:rPr>
          <w:spacing w:val="-3"/>
        </w:rPr>
        <w:t xml:space="preserve"> </w:t>
      </w:r>
      <w:r>
        <w:t>study</w:t>
      </w:r>
      <w:r>
        <w:rPr>
          <w:spacing w:val="-6"/>
        </w:rPr>
        <w:t xml:space="preserve"> </w:t>
      </w:r>
      <w:r>
        <w:t>was</w:t>
      </w:r>
      <w:r>
        <w:rPr>
          <w:spacing w:val="-4"/>
        </w:rPr>
        <w:t xml:space="preserve"> </w:t>
      </w:r>
      <w:r>
        <w:t>derived</w:t>
      </w:r>
      <w:r>
        <w:rPr>
          <w:spacing w:val="-6"/>
        </w:rPr>
        <w:t xml:space="preserve"> </w:t>
      </w:r>
      <w:r>
        <w:t>from</w:t>
      </w:r>
      <w:r>
        <w:rPr>
          <w:spacing w:val="-6"/>
        </w:rPr>
        <w:t xml:space="preserve"> </w:t>
      </w:r>
      <w:r>
        <w:t>seven</w:t>
      </w:r>
      <w:r>
        <w:rPr>
          <w:spacing w:val="-7"/>
        </w:rPr>
        <w:t xml:space="preserve"> </w:t>
      </w:r>
      <w:r>
        <w:t>tourist</w:t>
      </w:r>
      <w:r>
        <w:rPr>
          <w:spacing w:val="-4"/>
        </w:rPr>
        <w:t xml:space="preserve"> </w:t>
      </w:r>
      <w:r>
        <w:t>hotels</w:t>
      </w:r>
      <w:r>
        <w:rPr>
          <w:spacing w:val="-4"/>
        </w:rPr>
        <w:t xml:space="preserve"> </w:t>
      </w:r>
      <w:r>
        <w:t>in</w:t>
      </w:r>
      <w:r>
        <w:rPr>
          <w:spacing w:val="-6"/>
        </w:rPr>
        <w:t xml:space="preserve"> </w:t>
      </w:r>
      <w:r>
        <w:t>three</w:t>
      </w:r>
      <w:r>
        <w:rPr>
          <w:spacing w:val="-6"/>
        </w:rPr>
        <w:t xml:space="preserve"> </w:t>
      </w:r>
      <w:r>
        <w:t>major</w:t>
      </w:r>
      <w:r>
        <w:rPr>
          <w:spacing w:val="-3"/>
        </w:rPr>
        <w:t xml:space="preserve"> </w:t>
      </w:r>
      <w:r>
        <w:t>cities of Danang, including Ho Chi Minh city (Southern region), Hanoi (Northern region), and Hue city (Central region). These tourist hotels, ranging from three to five star hotels, are among the best well-known tourist hotels in Danang. Since the aim of o</w:t>
      </w:r>
      <w:r>
        <w:t>ur study was to examine the extent to which BCB is promoted through the mediating role of service climate, the participant tourist hotels were selected on the expectation</w:t>
      </w:r>
      <w:r>
        <w:rPr>
          <w:spacing w:val="-9"/>
        </w:rPr>
        <w:t xml:space="preserve"> </w:t>
      </w:r>
      <w:r>
        <w:t>that</w:t>
      </w:r>
      <w:r>
        <w:rPr>
          <w:spacing w:val="-7"/>
        </w:rPr>
        <w:t xml:space="preserve"> </w:t>
      </w:r>
      <w:r>
        <w:t>they</w:t>
      </w:r>
      <w:r>
        <w:rPr>
          <w:spacing w:val="-10"/>
        </w:rPr>
        <w:t xml:space="preserve"> </w:t>
      </w:r>
      <w:r>
        <w:t>had</w:t>
      </w:r>
      <w:r>
        <w:rPr>
          <w:spacing w:val="-11"/>
        </w:rPr>
        <w:t xml:space="preserve"> </w:t>
      </w:r>
      <w:r>
        <w:t>already</w:t>
      </w:r>
      <w:r>
        <w:rPr>
          <w:spacing w:val="-10"/>
        </w:rPr>
        <w:t xml:space="preserve"> </w:t>
      </w:r>
      <w:r>
        <w:t>established</w:t>
      </w:r>
      <w:r>
        <w:rPr>
          <w:spacing w:val="-8"/>
        </w:rPr>
        <w:t xml:space="preserve"> </w:t>
      </w:r>
      <w:r>
        <w:t>a</w:t>
      </w:r>
      <w:r>
        <w:rPr>
          <w:spacing w:val="-8"/>
        </w:rPr>
        <w:t xml:space="preserve"> </w:t>
      </w:r>
      <w:r>
        <w:t>strong</w:t>
      </w:r>
      <w:r>
        <w:rPr>
          <w:spacing w:val="-9"/>
        </w:rPr>
        <w:t xml:space="preserve"> </w:t>
      </w:r>
      <w:r>
        <w:t>service</w:t>
      </w:r>
      <w:r>
        <w:rPr>
          <w:spacing w:val="-8"/>
        </w:rPr>
        <w:t xml:space="preserve"> </w:t>
      </w:r>
      <w:r>
        <w:t>climate</w:t>
      </w:r>
      <w:r>
        <w:rPr>
          <w:spacing w:val="-7"/>
        </w:rPr>
        <w:t xml:space="preserve"> </w:t>
      </w:r>
      <w:r>
        <w:t>and</w:t>
      </w:r>
      <w:r>
        <w:rPr>
          <w:spacing w:val="-11"/>
        </w:rPr>
        <w:t xml:space="preserve"> </w:t>
      </w:r>
      <w:r>
        <w:t>that</w:t>
      </w:r>
      <w:r>
        <w:rPr>
          <w:spacing w:val="-7"/>
        </w:rPr>
        <w:t xml:space="preserve"> </w:t>
      </w:r>
      <w:r>
        <w:t>their employees w</w:t>
      </w:r>
      <w:r>
        <w:t xml:space="preserve">ere aware of their critical role in developing their corporate brand. </w:t>
      </w:r>
      <w:r>
        <w:rPr>
          <w:spacing w:val="3"/>
        </w:rPr>
        <w:t xml:space="preserve">We </w:t>
      </w:r>
      <w:r>
        <w:t>contacted</w:t>
      </w:r>
      <w:r>
        <w:rPr>
          <w:spacing w:val="-17"/>
        </w:rPr>
        <w:t xml:space="preserve"> </w:t>
      </w:r>
      <w:r>
        <w:t>the</w:t>
      </w:r>
      <w:r>
        <w:rPr>
          <w:spacing w:val="-18"/>
        </w:rPr>
        <w:t xml:space="preserve"> </w:t>
      </w:r>
      <w:r>
        <w:t>HR</w:t>
      </w:r>
      <w:r>
        <w:rPr>
          <w:spacing w:val="-15"/>
        </w:rPr>
        <w:t xml:space="preserve"> </w:t>
      </w:r>
      <w:r>
        <w:t>department</w:t>
      </w:r>
      <w:r>
        <w:rPr>
          <w:spacing w:val="-14"/>
        </w:rPr>
        <w:t xml:space="preserve"> </w:t>
      </w:r>
      <w:r>
        <w:t>of</w:t>
      </w:r>
      <w:r>
        <w:rPr>
          <w:spacing w:val="-15"/>
        </w:rPr>
        <w:t xml:space="preserve"> </w:t>
      </w:r>
      <w:r>
        <w:t>these</w:t>
      </w:r>
      <w:r>
        <w:rPr>
          <w:spacing w:val="-15"/>
        </w:rPr>
        <w:t xml:space="preserve"> </w:t>
      </w:r>
      <w:r>
        <w:t>hotels</w:t>
      </w:r>
      <w:r>
        <w:rPr>
          <w:spacing w:val="-15"/>
        </w:rPr>
        <w:t xml:space="preserve"> </w:t>
      </w:r>
      <w:r>
        <w:t>directly</w:t>
      </w:r>
      <w:r>
        <w:rPr>
          <w:spacing w:val="-16"/>
        </w:rPr>
        <w:t xml:space="preserve"> </w:t>
      </w:r>
      <w:r>
        <w:t>and</w:t>
      </w:r>
      <w:r>
        <w:rPr>
          <w:spacing w:val="-15"/>
        </w:rPr>
        <w:t xml:space="preserve"> </w:t>
      </w:r>
      <w:r>
        <w:t>sent</w:t>
      </w:r>
      <w:r>
        <w:rPr>
          <w:spacing w:val="-15"/>
        </w:rPr>
        <w:t xml:space="preserve"> </w:t>
      </w:r>
      <w:r>
        <w:t>them</w:t>
      </w:r>
      <w:r>
        <w:rPr>
          <w:spacing w:val="-16"/>
        </w:rPr>
        <w:t xml:space="preserve"> </w:t>
      </w:r>
      <w:r>
        <w:t>a</w:t>
      </w:r>
      <w:r>
        <w:rPr>
          <w:spacing w:val="-15"/>
        </w:rPr>
        <w:t xml:space="preserve"> </w:t>
      </w:r>
      <w:r>
        <w:t>mailing</w:t>
      </w:r>
      <w:r>
        <w:rPr>
          <w:spacing w:val="-12"/>
        </w:rPr>
        <w:t xml:space="preserve"> </w:t>
      </w:r>
      <w:r>
        <w:t>packet containing</w:t>
      </w:r>
      <w:r>
        <w:rPr>
          <w:spacing w:val="-12"/>
        </w:rPr>
        <w:t xml:space="preserve"> </w:t>
      </w:r>
      <w:r>
        <w:t>(a)</w:t>
      </w:r>
      <w:r>
        <w:rPr>
          <w:spacing w:val="-11"/>
        </w:rPr>
        <w:t xml:space="preserve"> </w:t>
      </w:r>
      <w:r>
        <w:t>a</w:t>
      </w:r>
      <w:r>
        <w:rPr>
          <w:spacing w:val="-13"/>
        </w:rPr>
        <w:t xml:space="preserve"> </w:t>
      </w:r>
      <w:r>
        <w:t>cover</w:t>
      </w:r>
      <w:r>
        <w:rPr>
          <w:spacing w:val="-9"/>
        </w:rPr>
        <w:t xml:space="preserve"> </w:t>
      </w:r>
      <w:r>
        <w:t>letter</w:t>
      </w:r>
      <w:r>
        <w:rPr>
          <w:spacing w:val="-10"/>
        </w:rPr>
        <w:t xml:space="preserve"> </w:t>
      </w:r>
      <w:r>
        <w:t>explaining</w:t>
      </w:r>
      <w:r>
        <w:rPr>
          <w:spacing w:val="-11"/>
        </w:rPr>
        <w:t xml:space="preserve"> </w:t>
      </w:r>
      <w:r>
        <w:t>the</w:t>
      </w:r>
      <w:r>
        <w:rPr>
          <w:spacing w:val="-13"/>
        </w:rPr>
        <w:t xml:space="preserve"> </w:t>
      </w:r>
      <w:r>
        <w:t>purpose</w:t>
      </w:r>
      <w:r>
        <w:rPr>
          <w:spacing w:val="-14"/>
        </w:rPr>
        <w:t xml:space="preserve"> </w:t>
      </w:r>
      <w:r>
        <w:t>of</w:t>
      </w:r>
      <w:r>
        <w:rPr>
          <w:spacing w:val="-11"/>
        </w:rPr>
        <w:t xml:space="preserve"> </w:t>
      </w:r>
      <w:r>
        <w:t>the</w:t>
      </w:r>
      <w:r>
        <w:rPr>
          <w:spacing w:val="-13"/>
        </w:rPr>
        <w:t xml:space="preserve"> </w:t>
      </w:r>
      <w:r>
        <w:t>study</w:t>
      </w:r>
      <w:r>
        <w:rPr>
          <w:spacing w:val="-13"/>
        </w:rPr>
        <w:t xml:space="preserve"> </w:t>
      </w:r>
      <w:r>
        <w:t>and</w:t>
      </w:r>
      <w:r>
        <w:rPr>
          <w:spacing w:val="-13"/>
        </w:rPr>
        <w:t xml:space="preserve"> </w:t>
      </w:r>
      <w:r>
        <w:t>stating</w:t>
      </w:r>
      <w:r>
        <w:rPr>
          <w:spacing w:val="-11"/>
        </w:rPr>
        <w:t xml:space="preserve"> </w:t>
      </w:r>
      <w:r>
        <w:t>that</w:t>
      </w:r>
      <w:r>
        <w:rPr>
          <w:spacing w:val="-11"/>
        </w:rPr>
        <w:t xml:space="preserve"> </w:t>
      </w:r>
      <w:r>
        <w:t>their participation in the survey was voluntary, and (b) a copy of the survey to seek their support and approval to conduct a survey with their employees. After gaining their approval,</w:t>
      </w:r>
      <w:r>
        <w:rPr>
          <w:spacing w:val="-15"/>
        </w:rPr>
        <w:t xml:space="preserve"> </w:t>
      </w:r>
      <w:r>
        <w:t>we</w:t>
      </w:r>
      <w:r>
        <w:rPr>
          <w:spacing w:val="-16"/>
        </w:rPr>
        <w:t xml:space="preserve"> </w:t>
      </w:r>
      <w:r>
        <w:t>relied</w:t>
      </w:r>
      <w:r>
        <w:rPr>
          <w:spacing w:val="-16"/>
        </w:rPr>
        <w:t xml:space="preserve"> </w:t>
      </w:r>
      <w:r>
        <w:t>on</w:t>
      </w:r>
      <w:r>
        <w:rPr>
          <w:spacing w:val="-19"/>
        </w:rPr>
        <w:t xml:space="preserve"> </w:t>
      </w:r>
      <w:r>
        <w:t>the</w:t>
      </w:r>
      <w:r>
        <w:rPr>
          <w:spacing w:val="-17"/>
        </w:rPr>
        <w:t xml:space="preserve"> </w:t>
      </w:r>
      <w:r>
        <w:t>quota</w:t>
      </w:r>
      <w:r>
        <w:rPr>
          <w:spacing w:val="-19"/>
        </w:rPr>
        <w:t xml:space="preserve"> </w:t>
      </w:r>
      <w:r>
        <w:t>sampling</w:t>
      </w:r>
      <w:r>
        <w:rPr>
          <w:spacing w:val="-16"/>
        </w:rPr>
        <w:t xml:space="preserve"> </w:t>
      </w:r>
      <w:r>
        <w:t>approach</w:t>
      </w:r>
      <w:r>
        <w:rPr>
          <w:spacing w:val="-15"/>
        </w:rPr>
        <w:t xml:space="preserve"> </w:t>
      </w:r>
      <w:r>
        <w:t>to</w:t>
      </w:r>
      <w:r>
        <w:rPr>
          <w:spacing w:val="-19"/>
        </w:rPr>
        <w:t xml:space="preserve"> </w:t>
      </w:r>
      <w:r>
        <w:t>ensure</w:t>
      </w:r>
      <w:r>
        <w:rPr>
          <w:spacing w:val="-19"/>
        </w:rPr>
        <w:t xml:space="preserve"> </w:t>
      </w:r>
      <w:r>
        <w:t>that</w:t>
      </w:r>
      <w:r>
        <w:rPr>
          <w:spacing w:val="-17"/>
        </w:rPr>
        <w:t xml:space="preserve"> </w:t>
      </w:r>
      <w:r>
        <w:t>various</w:t>
      </w:r>
      <w:r>
        <w:rPr>
          <w:spacing w:val="-17"/>
        </w:rPr>
        <w:t xml:space="preserve"> </w:t>
      </w:r>
      <w:r>
        <w:t>functio</w:t>
      </w:r>
      <w:r>
        <w:t>nal departments,</w:t>
      </w:r>
      <w:r>
        <w:rPr>
          <w:spacing w:val="-13"/>
        </w:rPr>
        <w:t xml:space="preserve"> </w:t>
      </w:r>
      <w:r>
        <w:t>roles</w:t>
      </w:r>
      <w:r>
        <w:rPr>
          <w:spacing w:val="-14"/>
        </w:rPr>
        <w:t xml:space="preserve"> </w:t>
      </w:r>
      <w:r>
        <w:t>and</w:t>
      </w:r>
      <w:r>
        <w:rPr>
          <w:spacing w:val="-14"/>
        </w:rPr>
        <w:t xml:space="preserve"> </w:t>
      </w:r>
      <w:r>
        <w:t>position</w:t>
      </w:r>
      <w:r>
        <w:rPr>
          <w:spacing w:val="-12"/>
        </w:rPr>
        <w:t xml:space="preserve"> </w:t>
      </w:r>
      <w:r>
        <w:t>levels</w:t>
      </w:r>
      <w:r>
        <w:rPr>
          <w:spacing w:val="-11"/>
        </w:rPr>
        <w:t xml:space="preserve"> </w:t>
      </w:r>
      <w:r>
        <w:t>were</w:t>
      </w:r>
      <w:r>
        <w:rPr>
          <w:spacing w:val="-11"/>
        </w:rPr>
        <w:t xml:space="preserve"> </w:t>
      </w:r>
      <w:r>
        <w:t>well</w:t>
      </w:r>
      <w:r>
        <w:rPr>
          <w:spacing w:val="-12"/>
        </w:rPr>
        <w:t xml:space="preserve"> </w:t>
      </w:r>
      <w:r>
        <w:t>represented</w:t>
      </w:r>
      <w:r>
        <w:rPr>
          <w:spacing w:val="-16"/>
        </w:rPr>
        <w:t xml:space="preserve"> </w:t>
      </w:r>
      <w:r>
        <w:t>(Zikmund</w:t>
      </w:r>
      <w:r>
        <w:rPr>
          <w:spacing w:val="-14"/>
        </w:rPr>
        <w:t xml:space="preserve"> </w:t>
      </w:r>
      <w:r>
        <w:t>et</w:t>
      </w:r>
      <w:r>
        <w:rPr>
          <w:spacing w:val="-12"/>
        </w:rPr>
        <w:t xml:space="preserve"> </w:t>
      </w:r>
      <w:r>
        <w:t>al.,</w:t>
      </w:r>
      <w:r>
        <w:rPr>
          <w:spacing w:val="-12"/>
        </w:rPr>
        <w:t xml:space="preserve"> </w:t>
      </w:r>
      <w:r>
        <w:t>2011). This sampling approach provided accurate results similar to those for the more conventional probability sampling method (Malhotra et al.,</w:t>
      </w:r>
      <w:r>
        <w:rPr>
          <w:spacing w:val="-10"/>
        </w:rPr>
        <w:t xml:space="preserve"> </w:t>
      </w:r>
      <w:r>
        <w:t>2002).</w:t>
      </w:r>
    </w:p>
    <w:p w:rsidR="00BF4029" w:rsidRDefault="00BF4029">
      <w:pPr>
        <w:pStyle w:val="BodyText"/>
        <w:spacing w:before="1"/>
      </w:pPr>
    </w:p>
    <w:p w:rsidR="00BF4029" w:rsidRDefault="00A24DEF">
      <w:pPr>
        <w:pStyle w:val="BodyText"/>
        <w:ind w:left="104" w:right="117"/>
        <w:jc w:val="both"/>
      </w:pPr>
      <w:r>
        <w:t>Hard copies of questionnaires were distributed by the respective HR departments to their employees. We used the Danangese version of the questionnaire in the survey to obtain a better understanding of employee perceptions. To ensure semantic equivalence, t</w:t>
      </w:r>
      <w:r>
        <w:t>wo researchers who were native speakers, translated the English questionnaire into Danangese and crosschecked the translated versions. The Danangese version was then back translated into English by an independent translator, and checked against the origina</w:t>
      </w:r>
      <w:r>
        <w:t>l English version to confirm its consistency. We assured the confidentiality and anonymity of responses by asking employees to return the completed surveys in a sealed envelope to a confidential return box. Employees were also clearly informed that their p</w:t>
      </w:r>
      <w:r>
        <w:t>articipation was voluntary and the anonymity of respondents was ensured.</w:t>
      </w:r>
    </w:p>
    <w:p w:rsidR="00BF4029" w:rsidRDefault="00BF4029">
      <w:pPr>
        <w:pStyle w:val="BodyText"/>
      </w:pPr>
    </w:p>
    <w:p w:rsidR="00BF4029" w:rsidRDefault="00A24DEF">
      <w:pPr>
        <w:pStyle w:val="BodyText"/>
        <w:spacing w:before="1"/>
        <w:ind w:left="104" w:right="118"/>
        <w:jc w:val="both"/>
      </w:pPr>
      <w:r>
        <w:t xml:space="preserve">A reminder notice was sent to employees 2 weeks after they received the questionnaire. Out of 480 questionnaires that had been sent out, a total of 305 questionnaires were returned, </w:t>
      </w:r>
      <w:r>
        <w:t>18 of which were unusable due to missing data, and a total of 287 questionnaires were used for analysis. Therefore, a response rate of 63.5% was obtained. As shown in Table 1, of our usable respondents, 64% were female; 62% were between 20-30 years of age.</w:t>
      </w:r>
      <w:r>
        <w:t xml:space="preserve"> The respondents had worked in their firms for an average of 4.1 years. The demographic statistics of respondents</w:t>
      </w:r>
    </w:p>
    <w:p w:rsidR="00BF4029" w:rsidRDefault="00BF4029">
      <w:pPr>
        <w:jc w:val="both"/>
        <w:sectPr w:rsidR="00BF4029">
          <w:pgSz w:w="9980" w:h="14180"/>
          <w:pgMar w:top="1240" w:right="840" w:bottom="1100" w:left="860" w:header="625" w:footer="911" w:gutter="0"/>
          <w:cols w:space="720"/>
        </w:sectPr>
      </w:pPr>
    </w:p>
    <w:p w:rsidR="00BF4029" w:rsidRDefault="00A24DEF">
      <w:pPr>
        <w:pStyle w:val="BodyText"/>
        <w:spacing w:before="87"/>
        <w:ind w:left="104" w:right="119"/>
        <w:jc w:val="both"/>
      </w:pPr>
      <w:r>
        <w:lastRenderedPageBreak/>
        <w:t>in</w:t>
      </w:r>
      <w:r>
        <w:rPr>
          <w:spacing w:val="-10"/>
        </w:rPr>
        <w:t xml:space="preserve"> </w:t>
      </w:r>
      <w:r>
        <w:t>our</w:t>
      </w:r>
      <w:r>
        <w:rPr>
          <w:spacing w:val="-9"/>
        </w:rPr>
        <w:t xml:space="preserve"> </w:t>
      </w:r>
      <w:r>
        <w:t>sample</w:t>
      </w:r>
      <w:r>
        <w:rPr>
          <w:spacing w:val="-10"/>
        </w:rPr>
        <w:t xml:space="preserve"> </w:t>
      </w:r>
      <w:r>
        <w:t>is</w:t>
      </w:r>
      <w:r>
        <w:rPr>
          <w:spacing w:val="-10"/>
        </w:rPr>
        <w:t xml:space="preserve"> </w:t>
      </w:r>
      <w:r>
        <w:t>similar</w:t>
      </w:r>
      <w:r>
        <w:rPr>
          <w:spacing w:val="-12"/>
        </w:rPr>
        <w:t xml:space="preserve"> </w:t>
      </w:r>
      <w:r>
        <w:t>to</w:t>
      </w:r>
      <w:r>
        <w:rPr>
          <w:spacing w:val="-13"/>
        </w:rPr>
        <w:t xml:space="preserve"> </w:t>
      </w:r>
      <w:r>
        <w:t>other</w:t>
      </w:r>
      <w:r>
        <w:rPr>
          <w:spacing w:val="-12"/>
        </w:rPr>
        <w:t xml:space="preserve"> </w:t>
      </w:r>
      <w:r>
        <w:t>tourist</w:t>
      </w:r>
      <w:r>
        <w:rPr>
          <w:spacing w:val="-8"/>
        </w:rPr>
        <w:t xml:space="preserve"> </w:t>
      </w:r>
      <w:r>
        <w:t>hotel</w:t>
      </w:r>
      <w:r>
        <w:rPr>
          <w:spacing w:val="-11"/>
        </w:rPr>
        <w:t xml:space="preserve"> </w:t>
      </w:r>
      <w:r>
        <w:t>studies</w:t>
      </w:r>
      <w:r>
        <w:rPr>
          <w:spacing w:val="-10"/>
        </w:rPr>
        <w:t xml:space="preserve"> </w:t>
      </w:r>
      <w:r>
        <w:t>(e.g.</w:t>
      </w:r>
      <w:r>
        <w:rPr>
          <w:spacing w:val="-9"/>
        </w:rPr>
        <w:t xml:space="preserve"> </w:t>
      </w:r>
      <w:r>
        <w:t>Dhar,</w:t>
      </w:r>
      <w:r>
        <w:rPr>
          <w:spacing w:val="-9"/>
        </w:rPr>
        <w:t xml:space="preserve"> </w:t>
      </w:r>
      <w:r>
        <w:t>2015;</w:t>
      </w:r>
      <w:r>
        <w:rPr>
          <w:spacing w:val="-11"/>
        </w:rPr>
        <w:t xml:space="preserve"> </w:t>
      </w:r>
      <w:r>
        <w:t>Tsaur</w:t>
      </w:r>
      <w:r>
        <w:rPr>
          <w:spacing w:val="-11"/>
        </w:rPr>
        <w:t xml:space="preserve"> </w:t>
      </w:r>
      <w:r>
        <w:t>and</w:t>
      </w:r>
      <w:r>
        <w:rPr>
          <w:spacing w:val="-10"/>
        </w:rPr>
        <w:t xml:space="preserve"> </w:t>
      </w:r>
      <w:r>
        <w:t>Lin, 2004).</w:t>
      </w:r>
    </w:p>
    <w:p w:rsidR="00BF4029" w:rsidRDefault="00BF4029">
      <w:pPr>
        <w:pStyle w:val="BodyText"/>
        <w:spacing w:before="8"/>
        <w:rPr>
          <w:sz w:val="21"/>
        </w:rPr>
      </w:pPr>
    </w:p>
    <w:p w:rsidR="00BF4029" w:rsidRDefault="00A24DEF">
      <w:pPr>
        <w:ind w:left="825"/>
        <w:rPr>
          <w:sz w:val="18"/>
        </w:rPr>
      </w:pPr>
      <w:r>
        <w:rPr>
          <w:b/>
          <w:sz w:val="18"/>
        </w:rPr>
        <w:t xml:space="preserve">Table 1. </w:t>
      </w:r>
      <w:r>
        <w:rPr>
          <w:sz w:val="18"/>
        </w:rPr>
        <w:t>Sample characteristics</w:t>
      </w:r>
    </w:p>
    <w:p w:rsidR="00BF4029" w:rsidRDefault="00BF4029">
      <w:pPr>
        <w:pStyle w:val="BodyText"/>
        <w:spacing w:before="3" w:after="1"/>
        <w:rPr>
          <w:sz w:val="12"/>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8"/>
        <w:gridCol w:w="1556"/>
        <w:gridCol w:w="1422"/>
      </w:tblGrid>
      <w:tr w:rsidR="00BF4029">
        <w:trPr>
          <w:trHeight w:val="273"/>
        </w:trPr>
        <w:tc>
          <w:tcPr>
            <w:tcW w:w="4398" w:type="dxa"/>
          </w:tcPr>
          <w:p w:rsidR="00BF4029" w:rsidRDefault="00BF4029">
            <w:pPr>
              <w:pStyle w:val="TableParagraph"/>
              <w:ind w:left="0"/>
              <w:rPr>
                <w:rFonts w:ascii="Times New Roman"/>
                <w:sz w:val="20"/>
              </w:rPr>
            </w:pPr>
          </w:p>
        </w:tc>
        <w:tc>
          <w:tcPr>
            <w:tcW w:w="1556" w:type="dxa"/>
          </w:tcPr>
          <w:p w:rsidR="00BF4029" w:rsidRDefault="00A24DEF">
            <w:pPr>
              <w:pStyle w:val="TableParagraph"/>
              <w:spacing w:line="204" w:lineRule="exact"/>
              <w:rPr>
                <w:b/>
                <w:sz w:val="18"/>
              </w:rPr>
            </w:pPr>
            <w:r>
              <w:rPr>
                <w:b/>
                <w:sz w:val="18"/>
              </w:rPr>
              <w:t>Frequency</w:t>
            </w:r>
          </w:p>
        </w:tc>
        <w:tc>
          <w:tcPr>
            <w:tcW w:w="1422" w:type="dxa"/>
          </w:tcPr>
          <w:p w:rsidR="00BF4029" w:rsidRDefault="00A24DEF">
            <w:pPr>
              <w:pStyle w:val="TableParagraph"/>
              <w:spacing w:line="204" w:lineRule="exact"/>
              <w:ind w:left="3"/>
              <w:rPr>
                <w:b/>
                <w:sz w:val="18"/>
              </w:rPr>
            </w:pPr>
            <w:r>
              <w:rPr>
                <w:b/>
                <w:sz w:val="18"/>
              </w:rPr>
              <w:t>Percentage</w:t>
            </w:r>
          </w:p>
        </w:tc>
      </w:tr>
      <w:tr w:rsidR="00BF4029">
        <w:trPr>
          <w:trHeight w:val="278"/>
        </w:trPr>
        <w:tc>
          <w:tcPr>
            <w:tcW w:w="4398" w:type="dxa"/>
          </w:tcPr>
          <w:p w:rsidR="00BF4029" w:rsidRDefault="00BF4029">
            <w:pPr>
              <w:pStyle w:val="TableParagraph"/>
              <w:ind w:left="0"/>
              <w:rPr>
                <w:rFonts w:ascii="Times New Roman"/>
                <w:sz w:val="20"/>
              </w:rPr>
            </w:pPr>
          </w:p>
        </w:tc>
        <w:tc>
          <w:tcPr>
            <w:tcW w:w="1556" w:type="dxa"/>
          </w:tcPr>
          <w:p w:rsidR="00BF4029" w:rsidRDefault="00A24DEF">
            <w:pPr>
              <w:pStyle w:val="TableParagraph"/>
              <w:spacing w:line="204" w:lineRule="exact"/>
              <w:rPr>
                <w:b/>
                <w:sz w:val="18"/>
              </w:rPr>
            </w:pPr>
            <w:r>
              <w:rPr>
                <w:b/>
                <w:sz w:val="18"/>
              </w:rPr>
              <w:t>287</w:t>
            </w:r>
          </w:p>
        </w:tc>
        <w:tc>
          <w:tcPr>
            <w:tcW w:w="1422" w:type="dxa"/>
          </w:tcPr>
          <w:p w:rsidR="00BF4029" w:rsidRDefault="00A24DEF">
            <w:pPr>
              <w:pStyle w:val="TableParagraph"/>
              <w:spacing w:line="204" w:lineRule="exact"/>
              <w:ind w:left="3"/>
              <w:rPr>
                <w:b/>
                <w:sz w:val="18"/>
              </w:rPr>
            </w:pPr>
            <w:r>
              <w:rPr>
                <w:b/>
                <w:sz w:val="18"/>
              </w:rPr>
              <w:t>100</w:t>
            </w:r>
          </w:p>
        </w:tc>
      </w:tr>
      <w:tr w:rsidR="00BF4029">
        <w:trPr>
          <w:trHeight w:val="273"/>
        </w:trPr>
        <w:tc>
          <w:tcPr>
            <w:tcW w:w="4398" w:type="dxa"/>
          </w:tcPr>
          <w:p w:rsidR="00BF4029" w:rsidRDefault="00A24DEF">
            <w:pPr>
              <w:pStyle w:val="TableParagraph"/>
              <w:spacing w:line="201" w:lineRule="exact"/>
              <w:rPr>
                <w:b/>
                <w:sz w:val="18"/>
              </w:rPr>
            </w:pPr>
            <w:r>
              <w:rPr>
                <w:b/>
                <w:sz w:val="18"/>
              </w:rPr>
              <w:t>Gender</w:t>
            </w:r>
          </w:p>
        </w:tc>
        <w:tc>
          <w:tcPr>
            <w:tcW w:w="1556" w:type="dxa"/>
          </w:tcPr>
          <w:p w:rsidR="00BF4029" w:rsidRDefault="00BF4029">
            <w:pPr>
              <w:pStyle w:val="TableParagraph"/>
              <w:ind w:left="0"/>
              <w:rPr>
                <w:rFonts w:ascii="Times New Roman"/>
                <w:sz w:val="20"/>
              </w:rPr>
            </w:pPr>
          </w:p>
        </w:tc>
        <w:tc>
          <w:tcPr>
            <w:tcW w:w="1422" w:type="dxa"/>
          </w:tcPr>
          <w:p w:rsidR="00BF4029" w:rsidRDefault="00BF4029">
            <w:pPr>
              <w:pStyle w:val="TableParagraph"/>
              <w:ind w:left="0"/>
              <w:rPr>
                <w:rFonts w:ascii="Times New Roman"/>
                <w:sz w:val="20"/>
              </w:rPr>
            </w:pPr>
          </w:p>
        </w:tc>
      </w:tr>
      <w:tr w:rsidR="00BF4029">
        <w:trPr>
          <w:trHeight w:val="277"/>
        </w:trPr>
        <w:tc>
          <w:tcPr>
            <w:tcW w:w="4398" w:type="dxa"/>
          </w:tcPr>
          <w:p w:rsidR="00BF4029" w:rsidRDefault="00A24DEF">
            <w:pPr>
              <w:pStyle w:val="TableParagraph"/>
              <w:spacing w:line="204" w:lineRule="exact"/>
              <w:rPr>
                <w:i/>
                <w:sz w:val="18"/>
              </w:rPr>
            </w:pPr>
            <w:r>
              <w:rPr>
                <w:i/>
                <w:sz w:val="18"/>
              </w:rPr>
              <w:t>Male</w:t>
            </w:r>
          </w:p>
        </w:tc>
        <w:tc>
          <w:tcPr>
            <w:tcW w:w="1556" w:type="dxa"/>
          </w:tcPr>
          <w:p w:rsidR="00BF4029" w:rsidRDefault="00A24DEF">
            <w:pPr>
              <w:pStyle w:val="TableParagraph"/>
              <w:spacing w:line="206" w:lineRule="exact"/>
              <w:rPr>
                <w:sz w:val="18"/>
              </w:rPr>
            </w:pPr>
            <w:r>
              <w:rPr>
                <w:sz w:val="18"/>
              </w:rPr>
              <w:t>103</w:t>
            </w:r>
          </w:p>
        </w:tc>
        <w:tc>
          <w:tcPr>
            <w:tcW w:w="1422" w:type="dxa"/>
          </w:tcPr>
          <w:p w:rsidR="00BF4029" w:rsidRDefault="00A24DEF">
            <w:pPr>
              <w:pStyle w:val="TableParagraph"/>
              <w:spacing w:line="206" w:lineRule="exact"/>
              <w:ind w:left="3"/>
              <w:rPr>
                <w:sz w:val="18"/>
              </w:rPr>
            </w:pPr>
            <w:r>
              <w:rPr>
                <w:sz w:val="18"/>
              </w:rPr>
              <w:t>35.9</w:t>
            </w:r>
          </w:p>
        </w:tc>
      </w:tr>
      <w:tr w:rsidR="00BF4029">
        <w:trPr>
          <w:trHeight w:val="275"/>
        </w:trPr>
        <w:tc>
          <w:tcPr>
            <w:tcW w:w="4398" w:type="dxa"/>
          </w:tcPr>
          <w:p w:rsidR="00BF4029" w:rsidRDefault="00A24DEF">
            <w:pPr>
              <w:pStyle w:val="TableParagraph"/>
              <w:spacing w:line="204" w:lineRule="exact"/>
              <w:rPr>
                <w:i/>
                <w:sz w:val="18"/>
              </w:rPr>
            </w:pPr>
            <w:r>
              <w:rPr>
                <w:i/>
                <w:sz w:val="18"/>
              </w:rPr>
              <w:t>Female</w:t>
            </w:r>
          </w:p>
        </w:tc>
        <w:tc>
          <w:tcPr>
            <w:tcW w:w="1556" w:type="dxa"/>
          </w:tcPr>
          <w:p w:rsidR="00BF4029" w:rsidRDefault="00A24DEF">
            <w:pPr>
              <w:pStyle w:val="TableParagraph"/>
              <w:spacing w:line="206" w:lineRule="exact"/>
              <w:rPr>
                <w:sz w:val="18"/>
              </w:rPr>
            </w:pPr>
            <w:r>
              <w:rPr>
                <w:sz w:val="18"/>
              </w:rPr>
              <w:t>184</w:t>
            </w:r>
          </w:p>
        </w:tc>
        <w:tc>
          <w:tcPr>
            <w:tcW w:w="1422" w:type="dxa"/>
          </w:tcPr>
          <w:p w:rsidR="00BF4029" w:rsidRDefault="00A24DEF">
            <w:pPr>
              <w:pStyle w:val="TableParagraph"/>
              <w:spacing w:line="206" w:lineRule="exact"/>
              <w:ind w:left="3"/>
              <w:rPr>
                <w:sz w:val="18"/>
              </w:rPr>
            </w:pPr>
            <w:r>
              <w:rPr>
                <w:sz w:val="18"/>
              </w:rPr>
              <w:t>64.1</w:t>
            </w:r>
          </w:p>
        </w:tc>
      </w:tr>
      <w:tr w:rsidR="00BF4029">
        <w:trPr>
          <w:trHeight w:val="273"/>
        </w:trPr>
        <w:tc>
          <w:tcPr>
            <w:tcW w:w="4398" w:type="dxa"/>
          </w:tcPr>
          <w:p w:rsidR="00BF4029" w:rsidRDefault="00A24DEF">
            <w:pPr>
              <w:pStyle w:val="TableParagraph"/>
              <w:spacing w:line="204" w:lineRule="exact"/>
              <w:rPr>
                <w:b/>
                <w:sz w:val="18"/>
              </w:rPr>
            </w:pPr>
            <w:r>
              <w:rPr>
                <w:b/>
                <w:sz w:val="18"/>
              </w:rPr>
              <w:t>Age</w:t>
            </w:r>
          </w:p>
        </w:tc>
        <w:tc>
          <w:tcPr>
            <w:tcW w:w="1556" w:type="dxa"/>
          </w:tcPr>
          <w:p w:rsidR="00BF4029" w:rsidRDefault="00BF4029">
            <w:pPr>
              <w:pStyle w:val="TableParagraph"/>
              <w:ind w:left="0"/>
              <w:rPr>
                <w:rFonts w:ascii="Times New Roman"/>
                <w:sz w:val="20"/>
              </w:rPr>
            </w:pPr>
          </w:p>
        </w:tc>
        <w:tc>
          <w:tcPr>
            <w:tcW w:w="1422" w:type="dxa"/>
          </w:tcPr>
          <w:p w:rsidR="00BF4029" w:rsidRDefault="00BF4029">
            <w:pPr>
              <w:pStyle w:val="TableParagraph"/>
              <w:ind w:left="0"/>
              <w:rPr>
                <w:rFonts w:ascii="Times New Roman"/>
                <w:sz w:val="20"/>
              </w:rPr>
            </w:pPr>
          </w:p>
        </w:tc>
      </w:tr>
      <w:tr w:rsidR="00BF4029">
        <w:trPr>
          <w:trHeight w:val="278"/>
        </w:trPr>
        <w:tc>
          <w:tcPr>
            <w:tcW w:w="4398" w:type="dxa"/>
          </w:tcPr>
          <w:p w:rsidR="00BF4029" w:rsidRDefault="00A24DEF">
            <w:pPr>
              <w:pStyle w:val="TableParagraph"/>
              <w:spacing w:line="206" w:lineRule="exact"/>
              <w:rPr>
                <w:i/>
                <w:sz w:val="18"/>
              </w:rPr>
            </w:pPr>
            <w:r>
              <w:rPr>
                <w:i/>
                <w:sz w:val="18"/>
              </w:rPr>
              <w:t>20-30</w:t>
            </w:r>
          </w:p>
        </w:tc>
        <w:tc>
          <w:tcPr>
            <w:tcW w:w="1556" w:type="dxa"/>
          </w:tcPr>
          <w:p w:rsidR="00BF4029" w:rsidRDefault="00A24DEF">
            <w:pPr>
              <w:pStyle w:val="TableParagraph"/>
              <w:spacing w:before="1"/>
              <w:rPr>
                <w:sz w:val="18"/>
              </w:rPr>
            </w:pPr>
            <w:r>
              <w:rPr>
                <w:sz w:val="18"/>
              </w:rPr>
              <w:t>178</w:t>
            </w:r>
          </w:p>
        </w:tc>
        <w:tc>
          <w:tcPr>
            <w:tcW w:w="1422" w:type="dxa"/>
          </w:tcPr>
          <w:p w:rsidR="00BF4029" w:rsidRDefault="00A24DEF">
            <w:pPr>
              <w:pStyle w:val="TableParagraph"/>
              <w:spacing w:before="1"/>
              <w:ind w:left="3"/>
              <w:rPr>
                <w:sz w:val="18"/>
              </w:rPr>
            </w:pPr>
            <w:r>
              <w:rPr>
                <w:sz w:val="18"/>
              </w:rPr>
              <w:t>62.0</w:t>
            </w:r>
          </w:p>
        </w:tc>
      </w:tr>
      <w:tr w:rsidR="00BF4029">
        <w:trPr>
          <w:trHeight w:val="273"/>
        </w:trPr>
        <w:tc>
          <w:tcPr>
            <w:tcW w:w="4398" w:type="dxa"/>
          </w:tcPr>
          <w:p w:rsidR="00BF4029" w:rsidRDefault="00A24DEF">
            <w:pPr>
              <w:pStyle w:val="TableParagraph"/>
              <w:spacing w:line="204" w:lineRule="exact"/>
              <w:rPr>
                <w:i/>
                <w:sz w:val="18"/>
              </w:rPr>
            </w:pPr>
            <w:r>
              <w:rPr>
                <w:i/>
                <w:sz w:val="18"/>
              </w:rPr>
              <w:t>31-40</w:t>
            </w:r>
          </w:p>
        </w:tc>
        <w:tc>
          <w:tcPr>
            <w:tcW w:w="1556" w:type="dxa"/>
          </w:tcPr>
          <w:p w:rsidR="00BF4029" w:rsidRDefault="00A24DEF">
            <w:pPr>
              <w:pStyle w:val="TableParagraph"/>
              <w:spacing w:line="206" w:lineRule="exact"/>
              <w:rPr>
                <w:sz w:val="18"/>
              </w:rPr>
            </w:pPr>
            <w:r>
              <w:rPr>
                <w:sz w:val="18"/>
              </w:rPr>
              <w:t>86</w:t>
            </w:r>
          </w:p>
        </w:tc>
        <w:tc>
          <w:tcPr>
            <w:tcW w:w="1422" w:type="dxa"/>
          </w:tcPr>
          <w:p w:rsidR="00BF4029" w:rsidRDefault="00A24DEF">
            <w:pPr>
              <w:pStyle w:val="TableParagraph"/>
              <w:spacing w:line="206" w:lineRule="exact"/>
              <w:ind w:left="3"/>
              <w:rPr>
                <w:sz w:val="18"/>
              </w:rPr>
            </w:pPr>
            <w:r>
              <w:rPr>
                <w:sz w:val="18"/>
              </w:rPr>
              <w:t>30.0</w:t>
            </w:r>
          </w:p>
        </w:tc>
      </w:tr>
      <w:tr w:rsidR="00BF4029">
        <w:trPr>
          <w:trHeight w:val="277"/>
        </w:trPr>
        <w:tc>
          <w:tcPr>
            <w:tcW w:w="4398" w:type="dxa"/>
          </w:tcPr>
          <w:p w:rsidR="00BF4029" w:rsidRDefault="00A24DEF">
            <w:pPr>
              <w:pStyle w:val="TableParagraph"/>
              <w:spacing w:line="204" w:lineRule="exact"/>
              <w:rPr>
                <w:i/>
                <w:sz w:val="18"/>
              </w:rPr>
            </w:pPr>
            <w:r>
              <w:rPr>
                <w:i/>
                <w:sz w:val="18"/>
              </w:rPr>
              <w:t>Over 40</w:t>
            </w:r>
          </w:p>
        </w:tc>
        <w:tc>
          <w:tcPr>
            <w:tcW w:w="1556" w:type="dxa"/>
          </w:tcPr>
          <w:p w:rsidR="00BF4029" w:rsidRDefault="00A24DEF">
            <w:pPr>
              <w:pStyle w:val="TableParagraph"/>
              <w:spacing w:line="206" w:lineRule="exact"/>
              <w:rPr>
                <w:sz w:val="18"/>
              </w:rPr>
            </w:pPr>
            <w:r>
              <w:rPr>
                <w:sz w:val="18"/>
              </w:rPr>
              <w:t>23</w:t>
            </w:r>
          </w:p>
        </w:tc>
        <w:tc>
          <w:tcPr>
            <w:tcW w:w="1422" w:type="dxa"/>
          </w:tcPr>
          <w:p w:rsidR="00BF4029" w:rsidRDefault="00A24DEF">
            <w:pPr>
              <w:pStyle w:val="TableParagraph"/>
              <w:spacing w:line="206" w:lineRule="exact"/>
              <w:ind w:left="3"/>
              <w:rPr>
                <w:sz w:val="18"/>
              </w:rPr>
            </w:pPr>
            <w:r>
              <w:rPr>
                <w:sz w:val="18"/>
              </w:rPr>
              <w:t>8.0</w:t>
            </w:r>
          </w:p>
        </w:tc>
      </w:tr>
      <w:tr w:rsidR="00BF4029">
        <w:trPr>
          <w:trHeight w:val="275"/>
        </w:trPr>
        <w:tc>
          <w:tcPr>
            <w:tcW w:w="4398" w:type="dxa"/>
          </w:tcPr>
          <w:p w:rsidR="00BF4029" w:rsidRDefault="00A24DEF">
            <w:pPr>
              <w:pStyle w:val="TableParagraph"/>
              <w:spacing w:line="201" w:lineRule="exact"/>
              <w:rPr>
                <w:b/>
                <w:sz w:val="18"/>
              </w:rPr>
            </w:pPr>
            <w:r>
              <w:rPr>
                <w:b/>
                <w:sz w:val="18"/>
              </w:rPr>
              <w:t>Working tenure</w:t>
            </w:r>
          </w:p>
        </w:tc>
        <w:tc>
          <w:tcPr>
            <w:tcW w:w="1556" w:type="dxa"/>
          </w:tcPr>
          <w:p w:rsidR="00BF4029" w:rsidRDefault="00BF4029">
            <w:pPr>
              <w:pStyle w:val="TableParagraph"/>
              <w:ind w:left="0"/>
              <w:rPr>
                <w:rFonts w:ascii="Times New Roman"/>
                <w:sz w:val="20"/>
              </w:rPr>
            </w:pPr>
          </w:p>
        </w:tc>
        <w:tc>
          <w:tcPr>
            <w:tcW w:w="1422" w:type="dxa"/>
          </w:tcPr>
          <w:p w:rsidR="00BF4029" w:rsidRDefault="00BF4029">
            <w:pPr>
              <w:pStyle w:val="TableParagraph"/>
              <w:ind w:left="0"/>
              <w:rPr>
                <w:rFonts w:ascii="Times New Roman"/>
                <w:sz w:val="20"/>
              </w:rPr>
            </w:pPr>
          </w:p>
        </w:tc>
      </w:tr>
      <w:tr w:rsidR="00BF4029">
        <w:trPr>
          <w:trHeight w:val="273"/>
        </w:trPr>
        <w:tc>
          <w:tcPr>
            <w:tcW w:w="4398" w:type="dxa"/>
          </w:tcPr>
          <w:p w:rsidR="00BF4029" w:rsidRDefault="00A24DEF">
            <w:pPr>
              <w:pStyle w:val="TableParagraph"/>
              <w:spacing w:line="206" w:lineRule="exact"/>
              <w:rPr>
                <w:i/>
                <w:sz w:val="18"/>
              </w:rPr>
            </w:pPr>
            <w:r>
              <w:rPr>
                <w:i/>
                <w:sz w:val="18"/>
              </w:rPr>
              <w:t>Less than 1 years</w:t>
            </w:r>
          </w:p>
        </w:tc>
        <w:tc>
          <w:tcPr>
            <w:tcW w:w="1556" w:type="dxa"/>
          </w:tcPr>
          <w:p w:rsidR="00BF4029" w:rsidRDefault="00A24DEF">
            <w:pPr>
              <w:pStyle w:val="TableParagraph"/>
              <w:spacing w:before="1"/>
              <w:rPr>
                <w:sz w:val="18"/>
              </w:rPr>
            </w:pPr>
            <w:r>
              <w:rPr>
                <w:sz w:val="18"/>
              </w:rPr>
              <w:t>44</w:t>
            </w:r>
          </w:p>
        </w:tc>
        <w:tc>
          <w:tcPr>
            <w:tcW w:w="1422" w:type="dxa"/>
          </w:tcPr>
          <w:p w:rsidR="00BF4029" w:rsidRDefault="00A24DEF">
            <w:pPr>
              <w:pStyle w:val="TableParagraph"/>
              <w:spacing w:before="1"/>
              <w:ind w:left="3"/>
              <w:rPr>
                <w:sz w:val="18"/>
              </w:rPr>
            </w:pPr>
            <w:r>
              <w:rPr>
                <w:sz w:val="18"/>
              </w:rPr>
              <w:t>15.3</w:t>
            </w:r>
          </w:p>
        </w:tc>
      </w:tr>
      <w:tr w:rsidR="00BF4029">
        <w:trPr>
          <w:trHeight w:val="277"/>
        </w:trPr>
        <w:tc>
          <w:tcPr>
            <w:tcW w:w="4398" w:type="dxa"/>
          </w:tcPr>
          <w:p w:rsidR="00BF4029" w:rsidRDefault="00A24DEF">
            <w:pPr>
              <w:pStyle w:val="TableParagraph"/>
              <w:spacing w:line="206" w:lineRule="exact"/>
              <w:rPr>
                <w:i/>
                <w:sz w:val="18"/>
              </w:rPr>
            </w:pPr>
            <w:r>
              <w:rPr>
                <w:i/>
                <w:sz w:val="18"/>
              </w:rPr>
              <w:t>1-3 years</w:t>
            </w:r>
          </w:p>
        </w:tc>
        <w:tc>
          <w:tcPr>
            <w:tcW w:w="1556" w:type="dxa"/>
          </w:tcPr>
          <w:p w:rsidR="00BF4029" w:rsidRDefault="00A24DEF">
            <w:pPr>
              <w:pStyle w:val="TableParagraph"/>
              <w:spacing w:before="1"/>
              <w:rPr>
                <w:sz w:val="18"/>
              </w:rPr>
            </w:pPr>
            <w:r>
              <w:rPr>
                <w:sz w:val="18"/>
              </w:rPr>
              <w:t>103</w:t>
            </w:r>
          </w:p>
        </w:tc>
        <w:tc>
          <w:tcPr>
            <w:tcW w:w="1422" w:type="dxa"/>
          </w:tcPr>
          <w:p w:rsidR="00BF4029" w:rsidRDefault="00A24DEF">
            <w:pPr>
              <w:pStyle w:val="TableParagraph"/>
              <w:spacing w:before="1"/>
              <w:ind w:left="3"/>
              <w:rPr>
                <w:sz w:val="18"/>
              </w:rPr>
            </w:pPr>
            <w:r>
              <w:rPr>
                <w:sz w:val="18"/>
              </w:rPr>
              <w:t>35.9</w:t>
            </w:r>
          </w:p>
        </w:tc>
      </w:tr>
      <w:tr w:rsidR="00BF4029">
        <w:trPr>
          <w:trHeight w:val="273"/>
        </w:trPr>
        <w:tc>
          <w:tcPr>
            <w:tcW w:w="4398" w:type="dxa"/>
          </w:tcPr>
          <w:p w:rsidR="00BF4029" w:rsidRDefault="00A24DEF">
            <w:pPr>
              <w:pStyle w:val="TableParagraph"/>
              <w:spacing w:line="204" w:lineRule="exact"/>
              <w:rPr>
                <w:i/>
                <w:sz w:val="18"/>
              </w:rPr>
            </w:pPr>
            <w:r>
              <w:rPr>
                <w:i/>
                <w:sz w:val="18"/>
              </w:rPr>
              <w:t>3-5 years</w:t>
            </w:r>
          </w:p>
        </w:tc>
        <w:tc>
          <w:tcPr>
            <w:tcW w:w="1556" w:type="dxa"/>
          </w:tcPr>
          <w:p w:rsidR="00BF4029" w:rsidRDefault="00A24DEF">
            <w:pPr>
              <w:pStyle w:val="TableParagraph"/>
              <w:spacing w:line="206" w:lineRule="exact"/>
              <w:rPr>
                <w:sz w:val="18"/>
              </w:rPr>
            </w:pPr>
            <w:r>
              <w:rPr>
                <w:sz w:val="18"/>
              </w:rPr>
              <w:t>60</w:t>
            </w:r>
          </w:p>
        </w:tc>
        <w:tc>
          <w:tcPr>
            <w:tcW w:w="1422" w:type="dxa"/>
          </w:tcPr>
          <w:p w:rsidR="00BF4029" w:rsidRDefault="00A24DEF">
            <w:pPr>
              <w:pStyle w:val="TableParagraph"/>
              <w:spacing w:line="206" w:lineRule="exact"/>
              <w:ind w:left="3"/>
              <w:rPr>
                <w:sz w:val="18"/>
              </w:rPr>
            </w:pPr>
            <w:r>
              <w:rPr>
                <w:sz w:val="18"/>
              </w:rPr>
              <w:t>20.9</w:t>
            </w:r>
          </w:p>
        </w:tc>
      </w:tr>
      <w:tr w:rsidR="00BF4029">
        <w:trPr>
          <w:trHeight w:val="277"/>
        </w:trPr>
        <w:tc>
          <w:tcPr>
            <w:tcW w:w="4398" w:type="dxa"/>
          </w:tcPr>
          <w:p w:rsidR="00BF4029" w:rsidRDefault="00A24DEF">
            <w:pPr>
              <w:pStyle w:val="TableParagraph"/>
              <w:spacing w:line="204" w:lineRule="exact"/>
              <w:rPr>
                <w:i/>
                <w:sz w:val="18"/>
              </w:rPr>
            </w:pPr>
            <w:r>
              <w:rPr>
                <w:i/>
                <w:sz w:val="18"/>
              </w:rPr>
              <w:t>More than 5 years</w:t>
            </w:r>
          </w:p>
        </w:tc>
        <w:tc>
          <w:tcPr>
            <w:tcW w:w="1556" w:type="dxa"/>
          </w:tcPr>
          <w:p w:rsidR="00BF4029" w:rsidRDefault="00A24DEF">
            <w:pPr>
              <w:pStyle w:val="TableParagraph"/>
              <w:spacing w:line="206" w:lineRule="exact"/>
              <w:rPr>
                <w:sz w:val="18"/>
              </w:rPr>
            </w:pPr>
            <w:r>
              <w:rPr>
                <w:sz w:val="18"/>
              </w:rPr>
              <w:t>80</w:t>
            </w:r>
          </w:p>
        </w:tc>
        <w:tc>
          <w:tcPr>
            <w:tcW w:w="1422" w:type="dxa"/>
          </w:tcPr>
          <w:p w:rsidR="00BF4029" w:rsidRDefault="00A24DEF">
            <w:pPr>
              <w:pStyle w:val="TableParagraph"/>
              <w:spacing w:line="206" w:lineRule="exact"/>
              <w:ind w:left="3"/>
              <w:rPr>
                <w:sz w:val="18"/>
              </w:rPr>
            </w:pPr>
            <w:r>
              <w:rPr>
                <w:sz w:val="18"/>
              </w:rPr>
              <w:t>27.9</w:t>
            </w:r>
          </w:p>
        </w:tc>
      </w:tr>
      <w:tr w:rsidR="00BF4029">
        <w:trPr>
          <w:trHeight w:val="273"/>
        </w:trPr>
        <w:tc>
          <w:tcPr>
            <w:tcW w:w="4398" w:type="dxa"/>
          </w:tcPr>
          <w:p w:rsidR="00BF4029" w:rsidRDefault="00A24DEF">
            <w:pPr>
              <w:pStyle w:val="TableParagraph"/>
              <w:spacing w:line="201" w:lineRule="exact"/>
              <w:rPr>
                <w:b/>
                <w:sz w:val="18"/>
              </w:rPr>
            </w:pPr>
            <w:r>
              <w:rPr>
                <w:b/>
                <w:sz w:val="18"/>
              </w:rPr>
              <w:t>Department</w:t>
            </w:r>
          </w:p>
        </w:tc>
        <w:tc>
          <w:tcPr>
            <w:tcW w:w="1556" w:type="dxa"/>
          </w:tcPr>
          <w:p w:rsidR="00BF4029" w:rsidRDefault="00BF4029">
            <w:pPr>
              <w:pStyle w:val="TableParagraph"/>
              <w:ind w:left="0"/>
              <w:rPr>
                <w:rFonts w:ascii="Times New Roman"/>
                <w:sz w:val="20"/>
              </w:rPr>
            </w:pPr>
          </w:p>
        </w:tc>
        <w:tc>
          <w:tcPr>
            <w:tcW w:w="1422" w:type="dxa"/>
          </w:tcPr>
          <w:p w:rsidR="00BF4029" w:rsidRDefault="00BF4029">
            <w:pPr>
              <w:pStyle w:val="TableParagraph"/>
              <w:ind w:left="0"/>
              <w:rPr>
                <w:rFonts w:ascii="Times New Roman"/>
                <w:sz w:val="20"/>
              </w:rPr>
            </w:pPr>
          </w:p>
        </w:tc>
      </w:tr>
      <w:tr w:rsidR="00BF4029">
        <w:trPr>
          <w:trHeight w:val="275"/>
        </w:trPr>
        <w:tc>
          <w:tcPr>
            <w:tcW w:w="4398" w:type="dxa"/>
          </w:tcPr>
          <w:p w:rsidR="00BF4029" w:rsidRDefault="00A24DEF">
            <w:pPr>
              <w:pStyle w:val="TableParagraph"/>
              <w:spacing w:line="204" w:lineRule="exact"/>
              <w:rPr>
                <w:i/>
                <w:sz w:val="18"/>
              </w:rPr>
            </w:pPr>
            <w:r>
              <w:rPr>
                <w:i/>
                <w:sz w:val="18"/>
              </w:rPr>
              <w:t>Marketing/sales</w:t>
            </w:r>
          </w:p>
        </w:tc>
        <w:tc>
          <w:tcPr>
            <w:tcW w:w="1556" w:type="dxa"/>
          </w:tcPr>
          <w:p w:rsidR="00BF4029" w:rsidRDefault="00A24DEF">
            <w:pPr>
              <w:pStyle w:val="TableParagraph"/>
              <w:spacing w:line="206" w:lineRule="exact"/>
              <w:rPr>
                <w:sz w:val="18"/>
              </w:rPr>
            </w:pPr>
            <w:r>
              <w:rPr>
                <w:sz w:val="18"/>
              </w:rPr>
              <w:t>24</w:t>
            </w:r>
          </w:p>
        </w:tc>
        <w:tc>
          <w:tcPr>
            <w:tcW w:w="1422" w:type="dxa"/>
          </w:tcPr>
          <w:p w:rsidR="00BF4029" w:rsidRDefault="00A24DEF">
            <w:pPr>
              <w:pStyle w:val="TableParagraph"/>
              <w:spacing w:line="206" w:lineRule="exact"/>
              <w:ind w:left="3"/>
              <w:rPr>
                <w:sz w:val="18"/>
              </w:rPr>
            </w:pPr>
            <w:r>
              <w:rPr>
                <w:sz w:val="18"/>
              </w:rPr>
              <w:t>8.4</w:t>
            </w:r>
          </w:p>
        </w:tc>
      </w:tr>
      <w:tr w:rsidR="00BF4029">
        <w:trPr>
          <w:trHeight w:val="551"/>
        </w:trPr>
        <w:tc>
          <w:tcPr>
            <w:tcW w:w="4398" w:type="dxa"/>
          </w:tcPr>
          <w:p w:rsidR="00BF4029" w:rsidRDefault="00A24DEF">
            <w:pPr>
              <w:pStyle w:val="TableParagraph"/>
              <w:tabs>
                <w:tab w:val="left" w:pos="1420"/>
                <w:tab w:val="left" w:pos="2837"/>
              </w:tabs>
              <w:ind w:right="1067"/>
              <w:rPr>
                <w:i/>
                <w:sz w:val="18"/>
              </w:rPr>
            </w:pPr>
            <w:r>
              <w:rPr>
                <w:i/>
                <w:sz w:val="18"/>
              </w:rPr>
              <w:t>Customer</w:t>
            </w:r>
            <w:r>
              <w:rPr>
                <w:i/>
                <w:sz w:val="18"/>
              </w:rPr>
              <w:tab/>
              <w:t xml:space="preserve">service </w:t>
            </w:r>
            <w:r>
              <w:rPr>
                <w:i/>
                <w:spacing w:val="35"/>
                <w:sz w:val="18"/>
              </w:rPr>
              <w:t xml:space="preserve"> </w:t>
            </w:r>
            <w:r>
              <w:rPr>
                <w:i/>
                <w:sz w:val="18"/>
              </w:rPr>
              <w:t>(front</w:t>
            </w:r>
            <w:r>
              <w:rPr>
                <w:i/>
                <w:sz w:val="18"/>
              </w:rPr>
              <w:tab/>
            </w:r>
            <w:r>
              <w:rPr>
                <w:i/>
                <w:spacing w:val="-4"/>
                <w:sz w:val="18"/>
              </w:rPr>
              <w:t xml:space="preserve">office, </w:t>
            </w:r>
            <w:r>
              <w:rPr>
                <w:i/>
                <w:sz w:val="18"/>
              </w:rPr>
              <w:t>housekeeping)</w:t>
            </w:r>
          </w:p>
        </w:tc>
        <w:tc>
          <w:tcPr>
            <w:tcW w:w="1556" w:type="dxa"/>
          </w:tcPr>
          <w:p w:rsidR="00BF4029" w:rsidRDefault="00A24DEF">
            <w:pPr>
              <w:pStyle w:val="TableParagraph"/>
              <w:spacing w:before="1"/>
              <w:rPr>
                <w:sz w:val="18"/>
              </w:rPr>
            </w:pPr>
            <w:r>
              <w:rPr>
                <w:sz w:val="18"/>
              </w:rPr>
              <w:t>251</w:t>
            </w:r>
          </w:p>
        </w:tc>
        <w:tc>
          <w:tcPr>
            <w:tcW w:w="1422" w:type="dxa"/>
          </w:tcPr>
          <w:p w:rsidR="00BF4029" w:rsidRDefault="00A24DEF">
            <w:pPr>
              <w:pStyle w:val="TableParagraph"/>
              <w:spacing w:before="1"/>
              <w:ind w:left="3"/>
              <w:rPr>
                <w:sz w:val="18"/>
              </w:rPr>
            </w:pPr>
            <w:r>
              <w:rPr>
                <w:sz w:val="18"/>
              </w:rPr>
              <w:t>87.5</w:t>
            </w:r>
          </w:p>
        </w:tc>
      </w:tr>
      <w:tr w:rsidR="00BF4029">
        <w:trPr>
          <w:trHeight w:val="277"/>
        </w:trPr>
        <w:tc>
          <w:tcPr>
            <w:tcW w:w="4398" w:type="dxa"/>
          </w:tcPr>
          <w:p w:rsidR="00BF4029" w:rsidRDefault="00A24DEF">
            <w:pPr>
              <w:pStyle w:val="TableParagraph"/>
              <w:spacing w:line="204" w:lineRule="exact"/>
              <w:rPr>
                <w:i/>
                <w:sz w:val="18"/>
              </w:rPr>
            </w:pPr>
            <w:r>
              <w:rPr>
                <w:i/>
                <w:sz w:val="18"/>
              </w:rPr>
              <w:t>Administration</w:t>
            </w:r>
          </w:p>
        </w:tc>
        <w:tc>
          <w:tcPr>
            <w:tcW w:w="1556" w:type="dxa"/>
          </w:tcPr>
          <w:p w:rsidR="00BF4029" w:rsidRDefault="00A24DEF">
            <w:pPr>
              <w:pStyle w:val="TableParagraph"/>
              <w:spacing w:line="206" w:lineRule="exact"/>
              <w:rPr>
                <w:sz w:val="18"/>
              </w:rPr>
            </w:pPr>
            <w:r>
              <w:rPr>
                <w:sz w:val="18"/>
              </w:rPr>
              <w:t>12</w:t>
            </w:r>
          </w:p>
        </w:tc>
        <w:tc>
          <w:tcPr>
            <w:tcW w:w="1422" w:type="dxa"/>
          </w:tcPr>
          <w:p w:rsidR="00BF4029" w:rsidRDefault="00A24DEF">
            <w:pPr>
              <w:pStyle w:val="TableParagraph"/>
              <w:spacing w:line="206" w:lineRule="exact"/>
              <w:ind w:left="3"/>
              <w:rPr>
                <w:sz w:val="18"/>
              </w:rPr>
            </w:pPr>
            <w:r>
              <w:rPr>
                <w:sz w:val="18"/>
              </w:rPr>
              <w:t>4.1</w:t>
            </w:r>
          </w:p>
        </w:tc>
      </w:tr>
      <w:tr w:rsidR="00BF4029">
        <w:trPr>
          <w:trHeight w:val="273"/>
        </w:trPr>
        <w:tc>
          <w:tcPr>
            <w:tcW w:w="4398" w:type="dxa"/>
          </w:tcPr>
          <w:p w:rsidR="00BF4029" w:rsidRDefault="00A24DEF">
            <w:pPr>
              <w:pStyle w:val="TableParagraph"/>
              <w:spacing w:line="201" w:lineRule="exact"/>
              <w:rPr>
                <w:b/>
                <w:sz w:val="18"/>
              </w:rPr>
            </w:pPr>
            <w:r>
              <w:rPr>
                <w:b/>
                <w:sz w:val="18"/>
              </w:rPr>
              <w:t>Highest qualification</w:t>
            </w:r>
          </w:p>
        </w:tc>
        <w:tc>
          <w:tcPr>
            <w:tcW w:w="1556" w:type="dxa"/>
          </w:tcPr>
          <w:p w:rsidR="00BF4029" w:rsidRDefault="00BF4029">
            <w:pPr>
              <w:pStyle w:val="TableParagraph"/>
              <w:ind w:left="0"/>
              <w:rPr>
                <w:rFonts w:ascii="Times New Roman"/>
                <w:sz w:val="20"/>
              </w:rPr>
            </w:pPr>
          </w:p>
        </w:tc>
        <w:tc>
          <w:tcPr>
            <w:tcW w:w="1422" w:type="dxa"/>
          </w:tcPr>
          <w:p w:rsidR="00BF4029" w:rsidRDefault="00BF4029">
            <w:pPr>
              <w:pStyle w:val="TableParagraph"/>
              <w:ind w:left="0"/>
              <w:rPr>
                <w:rFonts w:ascii="Times New Roman"/>
                <w:sz w:val="20"/>
              </w:rPr>
            </w:pPr>
          </w:p>
        </w:tc>
      </w:tr>
      <w:tr w:rsidR="00BF4029">
        <w:trPr>
          <w:trHeight w:val="275"/>
        </w:trPr>
        <w:tc>
          <w:tcPr>
            <w:tcW w:w="4398" w:type="dxa"/>
          </w:tcPr>
          <w:p w:rsidR="00BF4029" w:rsidRDefault="00A24DEF">
            <w:pPr>
              <w:pStyle w:val="TableParagraph"/>
              <w:spacing w:line="204" w:lineRule="exact"/>
              <w:rPr>
                <w:i/>
                <w:sz w:val="18"/>
              </w:rPr>
            </w:pPr>
            <w:r>
              <w:rPr>
                <w:i/>
                <w:sz w:val="18"/>
              </w:rPr>
              <w:t>High school</w:t>
            </w:r>
          </w:p>
        </w:tc>
        <w:tc>
          <w:tcPr>
            <w:tcW w:w="1556" w:type="dxa"/>
          </w:tcPr>
          <w:p w:rsidR="00BF4029" w:rsidRDefault="00A24DEF">
            <w:pPr>
              <w:pStyle w:val="TableParagraph"/>
              <w:spacing w:line="206" w:lineRule="exact"/>
              <w:rPr>
                <w:sz w:val="18"/>
              </w:rPr>
            </w:pPr>
            <w:r>
              <w:rPr>
                <w:sz w:val="18"/>
              </w:rPr>
              <w:t>26</w:t>
            </w:r>
          </w:p>
        </w:tc>
        <w:tc>
          <w:tcPr>
            <w:tcW w:w="1422" w:type="dxa"/>
          </w:tcPr>
          <w:p w:rsidR="00BF4029" w:rsidRDefault="00A24DEF">
            <w:pPr>
              <w:pStyle w:val="TableParagraph"/>
              <w:spacing w:line="206" w:lineRule="exact"/>
              <w:ind w:left="3"/>
              <w:rPr>
                <w:sz w:val="18"/>
              </w:rPr>
            </w:pPr>
            <w:r>
              <w:rPr>
                <w:sz w:val="18"/>
              </w:rPr>
              <w:t>9.1</w:t>
            </w:r>
          </w:p>
        </w:tc>
      </w:tr>
      <w:tr w:rsidR="00BF4029">
        <w:trPr>
          <w:trHeight w:val="273"/>
        </w:trPr>
        <w:tc>
          <w:tcPr>
            <w:tcW w:w="4398" w:type="dxa"/>
          </w:tcPr>
          <w:p w:rsidR="00BF4029" w:rsidRDefault="00A24DEF">
            <w:pPr>
              <w:pStyle w:val="TableParagraph"/>
              <w:spacing w:line="204" w:lineRule="exact"/>
              <w:rPr>
                <w:i/>
                <w:sz w:val="18"/>
              </w:rPr>
            </w:pPr>
            <w:r>
              <w:rPr>
                <w:i/>
                <w:sz w:val="18"/>
              </w:rPr>
              <w:t>Diploma or Certificate</w:t>
            </w:r>
          </w:p>
        </w:tc>
        <w:tc>
          <w:tcPr>
            <w:tcW w:w="1556" w:type="dxa"/>
          </w:tcPr>
          <w:p w:rsidR="00BF4029" w:rsidRDefault="00A24DEF">
            <w:pPr>
              <w:pStyle w:val="TableParagraph"/>
              <w:spacing w:line="206" w:lineRule="exact"/>
              <w:rPr>
                <w:sz w:val="18"/>
              </w:rPr>
            </w:pPr>
            <w:r>
              <w:rPr>
                <w:sz w:val="18"/>
              </w:rPr>
              <w:t>107</w:t>
            </w:r>
          </w:p>
        </w:tc>
        <w:tc>
          <w:tcPr>
            <w:tcW w:w="1422" w:type="dxa"/>
          </w:tcPr>
          <w:p w:rsidR="00BF4029" w:rsidRDefault="00A24DEF">
            <w:pPr>
              <w:pStyle w:val="TableParagraph"/>
              <w:spacing w:line="206" w:lineRule="exact"/>
              <w:ind w:left="3"/>
              <w:rPr>
                <w:sz w:val="18"/>
              </w:rPr>
            </w:pPr>
            <w:r>
              <w:rPr>
                <w:sz w:val="18"/>
              </w:rPr>
              <w:t>37.3</w:t>
            </w:r>
          </w:p>
        </w:tc>
      </w:tr>
      <w:tr w:rsidR="00BF4029">
        <w:trPr>
          <w:trHeight w:val="277"/>
        </w:trPr>
        <w:tc>
          <w:tcPr>
            <w:tcW w:w="4398" w:type="dxa"/>
          </w:tcPr>
          <w:p w:rsidR="00BF4029" w:rsidRDefault="00A24DEF">
            <w:pPr>
              <w:pStyle w:val="TableParagraph"/>
              <w:spacing w:line="204" w:lineRule="exact"/>
              <w:rPr>
                <w:i/>
                <w:sz w:val="18"/>
              </w:rPr>
            </w:pPr>
            <w:r>
              <w:rPr>
                <w:i/>
                <w:sz w:val="18"/>
              </w:rPr>
              <w:t>Undergraduate</w:t>
            </w:r>
          </w:p>
        </w:tc>
        <w:tc>
          <w:tcPr>
            <w:tcW w:w="1556" w:type="dxa"/>
          </w:tcPr>
          <w:p w:rsidR="00BF4029" w:rsidRDefault="00A24DEF">
            <w:pPr>
              <w:pStyle w:val="TableParagraph"/>
              <w:spacing w:line="206" w:lineRule="exact"/>
              <w:rPr>
                <w:sz w:val="18"/>
              </w:rPr>
            </w:pPr>
            <w:r>
              <w:rPr>
                <w:sz w:val="18"/>
              </w:rPr>
              <w:t>146</w:t>
            </w:r>
          </w:p>
        </w:tc>
        <w:tc>
          <w:tcPr>
            <w:tcW w:w="1422" w:type="dxa"/>
          </w:tcPr>
          <w:p w:rsidR="00BF4029" w:rsidRDefault="00A24DEF">
            <w:pPr>
              <w:pStyle w:val="TableParagraph"/>
              <w:spacing w:line="206" w:lineRule="exact"/>
              <w:ind w:left="3"/>
              <w:rPr>
                <w:sz w:val="18"/>
              </w:rPr>
            </w:pPr>
            <w:r>
              <w:rPr>
                <w:sz w:val="18"/>
              </w:rPr>
              <w:t>50.9</w:t>
            </w:r>
          </w:p>
        </w:tc>
      </w:tr>
      <w:tr w:rsidR="00BF4029">
        <w:trPr>
          <w:trHeight w:val="275"/>
        </w:trPr>
        <w:tc>
          <w:tcPr>
            <w:tcW w:w="4398" w:type="dxa"/>
          </w:tcPr>
          <w:p w:rsidR="00BF4029" w:rsidRDefault="00A24DEF">
            <w:pPr>
              <w:pStyle w:val="TableParagraph"/>
              <w:spacing w:line="204" w:lineRule="exact"/>
              <w:rPr>
                <w:i/>
                <w:sz w:val="18"/>
              </w:rPr>
            </w:pPr>
            <w:r>
              <w:rPr>
                <w:i/>
                <w:sz w:val="18"/>
              </w:rPr>
              <w:t>Postgraduate</w:t>
            </w:r>
          </w:p>
        </w:tc>
        <w:tc>
          <w:tcPr>
            <w:tcW w:w="1556" w:type="dxa"/>
          </w:tcPr>
          <w:p w:rsidR="00BF4029" w:rsidRDefault="00A24DEF">
            <w:pPr>
              <w:pStyle w:val="TableParagraph"/>
              <w:spacing w:line="206" w:lineRule="exact"/>
              <w:rPr>
                <w:sz w:val="18"/>
              </w:rPr>
            </w:pPr>
            <w:r>
              <w:rPr>
                <w:w w:val="99"/>
                <w:sz w:val="18"/>
              </w:rPr>
              <w:t>8</w:t>
            </w:r>
          </w:p>
        </w:tc>
        <w:tc>
          <w:tcPr>
            <w:tcW w:w="1422" w:type="dxa"/>
          </w:tcPr>
          <w:p w:rsidR="00BF4029" w:rsidRDefault="00A24DEF">
            <w:pPr>
              <w:pStyle w:val="TableParagraph"/>
              <w:spacing w:line="206" w:lineRule="exact"/>
              <w:ind w:left="3"/>
              <w:rPr>
                <w:sz w:val="18"/>
              </w:rPr>
            </w:pPr>
            <w:r>
              <w:rPr>
                <w:sz w:val="18"/>
              </w:rPr>
              <w:t>2.8</w:t>
            </w:r>
          </w:p>
        </w:tc>
      </w:tr>
    </w:tbl>
    <w:p w:rsidR="00BF4029" w:rsidRDefault="00BF4029">
      <w:pPr>
        <w:pStyle w:val="BodyText"/>
        <w:spacing w:before="10"/>
        <w:rPr>
          <w:sz w:val="29"/>
        </w:rPr>
      </w:pPr>
    </w:p>
    <w:p w:rsidR="00BF4029" w:rsidRDefault="00A24DEF">
      <w:pPr>
        <w:pStyle w:val="Heading1"/>
      </w:pPr>
      <w:r>
        <w:t>Measurement instrument</w:t>
      </w:r>
    </w:p>
    <w:p w:rsidR="00BF4029" w:rsidRDefault="00BF4029">
      <w:pPr>
        <w:pStyle w:val="BodyText"/>
        <w:spacing w:before="3"/>
        <w:rPr>
          <w:b/>
        </w:rPr>
      </w:pPr>
    </w:p>
    <w:p w:rsidR="00BF4029" w:rsidRDefault="00A24DEF">
      <w:pPr>
        <w:pStyle w:val="BodyText"/>
        <w:ind w:left="104" w:right="122"/>
        <w:jc w:val="both"/>
      </w:pPr>
      <w:r>
        <w:t>This study adopted measures from the existing literature. All measures were on a 7-point</w:t>
      </w:r>
      <w:r>
        <w:rPr>
          <w:spacing w:val="-6"/>
        </w:rPr>
        <w:t xml:space="preserve"> </w:t>
      </w:r>
      <w:r>
        <w:t>Likert-type</w:t>
      </w:r>
      <w:r>
        <w:rPr>
          <w:spacing w:val="-8"/>
        </w:rPr>
        <w:t xml:space="preserve"> </w:t>
      </w:r>
      <w:r>
        <w:t>scale</w:t>
      </w:r>
      <w:r>
        <w:rPr>
          <w:spacing w:val="-6"/>
        </w:rPr>
        <w:t xml:space="preserve"> </w:t>
      </w:r>
      <w:r>
        <w:t>from</w:t>
      </w:r>
      <w:r>
        <w:rPr>
          <w:spacing w:val="-7"/>
        </w:rPr>
        <w:t xml:space="preserve"> </w:t>
      </w:r>
      <w:r>
        <w:t>either</w:t>
      </w:r>
      <w:r>
        <w:rPr>
          <w:spacing w:val="-6"/>
        </w:rPr>
        <w:t xml:space="preserve"> </w:t>
      </w:r>
      <w:r>
        <w:t>(1)</w:t>
      </w:r>
      <w:r>
        <w:rPr>
          <w:spacing w:val="-5"/>
        </w:rPr>
        <w:t xml:space="preserve"> </w:t>
      </w:r>
      <w:r>
        <w:t>“strongly</w:t>
      </w:r>
      <w:r>
        <w:rPr>
          <w:spacing w:val="-9"/>
        </w:rPr>
        <w:t xml:space="preserve"> </w:t>
      </w:r>
      <w:r>
        <w:t>disagree”</w:t>
      </w:r>
      <w:r>
        <w:rPr>
          <w:spacing w:val="-8"/>
        </w:rPr>
        <w:t xml:space="preserve"> </w:t>
      </w:r>
      <w:r>
        <w:t>to</w:t>
      </w:r>
      <w:r>
        <w:rPr>
          <w:spacing w:val="-7"/>
        </w:rPr>
        <w:t xml:space="preserve"> </w:t>
      </w:r>
      <w:r>
        <w:t>(7)</w:t>
      </w:r>
      <w:r>
        <w:rPr>
          <w:spacing w:val="-6"/>
        </w:rPr>
        <w:t xml:space="preserve"> </w:t>
      </w:r>
      <w:r>
        <w:t>“strongly</w:t>
      </w:r>
      <w:r>
        <w:rPr>
          <w:spacing w:val="-8"/>
        </w:rPr>
        <w:t xml:space="preserve"> </w:t>
      </w:r>
      <w:r>
        <w:t>agree”</w:t>
      </w:r>
      <w:r>
        <w:rPr>
          <w:spacing w:val="-6"/>
        </w:rPr>
        <w:t xml:space="preserve"> </w:t>
      </w:r>
      <w:r>
        <w:t>or</w:t>
      </w:r>
    </w:p>
    <w:p w:rsidR="00BF4029" w:rsidRDefault="00A24DEF">
      <w:pPr>
        <w:pStyle w:val="BodyText"/>
        <w:ind w:left="104"/>
      </w:pPr>
      <w:r>
        <w:t>(1) “very-poor” to (7) “excellent”.</w:t>
      </w:r>
    </w:p>
    <w:p w:rsidR="00BF4029" w:rsidRDefault="00BF4029">
      <w:pPr>
        <w:pStyle w:val="BodyText"/>
        <w:spacing w:before="1"/>
      </w:pPr>
    </w:p>
    <w:p w:rsidR="00BF4029" w:rsidRDefault="00A24DEF">
      <w:pPr>
        <w:pStyle w:val="BodyText"/>
        <w:ind w:left="104" w:right="118"/>
        <w:jc w:val="both"/>
      </w:pPr>
      <w:r>
        <w:t>Service</w:t>
      </w:r>
      <w:r>
        <w:rPr>
          <w:spacing w:val="-5"/>
        </w:rPr>
        <w:t xml:space="preserve"> </w:t>
      </w:r>
      <w:r>
        <w:t>climate</w:t>
      </w:r>
      <w:r>
        <w:rPr>
          <w:spacing w:val="-7"/>
        </w:rPr>
        <w:t xml:space="preserve"> </w:t>
      </w:r>
      <w:r>
        <w:t>was</w:t>
      </w:r>
      <w:r>
        <w:rPr>
          <w:spacing w:val="-5"/>
        </w:rPr>
        <w:t xml:space="preserve"> </w:t>
      </w:r>
      <w:r>
        <w:t>measu</w:t>
      </w:r>
      <w:r>
        <w:t>red</w:t>
      </w:r>
      <w:r>
        <w:rPr>
          <w:spacing w:val="-8"/>
        </w:rPr>
        <w:t xml:space="preserve"> </w:t>
      </w:r>
      <w:r>
        <w:t>by</w:t>
      </w:r>
      <w:r>
        <w:rPr>
          <w:spacing w:val="-8"/>
        </w:rPr>
        <w:t xml:space="preserve"> </w:t>
      </w:r>
      <w:r>
        <w:t>six</w:t>
      </w:r>
      <w:r>
        <w:rPr>
          <w:spacing w:val="-7"/>
        </w:rPr>
        <w:t xml:space="preserve"> </w:t>
      </w:r>
      <w:r>
        <w:t>items</w:t>
      </w:r>
      <w:r>
        <w:rPr>
          <w:spacing w:val="-7"/>
        </w:rPr>
        <w:t xml:space="preserve"> </w:t>
      </w:r>
      <w:r>
        <w:t>adapted</w:t>
      </w:r>
      <w:r>
        <w:rPr>
          <w:spacing w:val="-8"/>
        </w:rPr>
        <w:t xml:space="preserve"> </w:t>
      </w:r>
      <w:r>
        <w:t>from</w:t>
      </w:r>
      <w:r>
        <w:rPr>
          <w:spacing w:val="-7"/>
        </w:rPr>
        <w:t xml:space="preserve"> </w:t>
      </w:r>
      <w:r>
        <w:t>de</w:t>
      </w:r>
      <w:r>
        <w:rPr>
          <w:spacing w:val="-8"/>
        </w:rPr>
        <w:t xml:space="preserve"> </w:t>
      </w:r>
      <w:r>
        <w:t>Jong</w:t>
      </w:r>
      <w:r>
        <w:rPr>
          <w:spacing w:val="-5"/>
        </w:rPr>
        <w:t xml:space="preserve"> </w:t>
      </w:r>
      <w:r>
        <w:t>et</w:t>
      </w:r>
      <w:r>
        <w:rPr>
          <w:spacing w:val="-7"/>
        </w:rPr>
        <w:t xml:space="preserve"> </w:t>
      </w:r>
      <w:r>
        <w:t>al.</w:t>
      </w:r>
      <w:r>
        <w:rPr>
          <w:spacing w:val="-9"/>
        </w:rPr>
        <w:t xml:space="preserve"> </w:t>
      </w:r>
      <w:r>
        <w:t>(2004).</w:t>
      </w:r>
      <w:r>
        <w:rPr>
          <w:spacing w:val="-8"/>
        </w:rPr>
        <w:t xml:space="preserve"> </w:t>
      </w:r>
      <w:r>
        <w:t>The construct includes the basic components of climate constructs in the</w:t>
      </w:r>
      <w:r>
        <w:rPr>
          <w:spacing w:val="-33"/>
        </w:rPr>
        <w:t xml:space="preserve"> </w:t>
      </w:r>
      <w:r>
        <w:t>organizational climate literature, including practices, procedure and behavior (de Jong, de Ruyter &amp;</w:t>
      </w:r>
      <w:r>
        <w:t xml:space="preserve"> Lemmink, 2005; Schneider et al.,</w:t>
      </w:r>
      <w:r>
        <w:rPr>
          <w:spacing w:val="-4"/>
        </w:rPr>
        <w:t xml:space="preserve"> </w:t>
      </w:r>
      <w:r>
        <w:t>1998).</w:t>
      </w:r>
    </w:p>
    <w:p w:rsidR="00BF4029" w:rsidRDefault="00BF4029">
      <w:pPr>
        <w:pStyle w:val="BodyText"/>
      </w:pPr>
    </w:p>
    <w:p w:rsidR="00BF4029" w:rsidRDefault="00A24DEF">
      <w:pPr>
        <w:pStyle w:val="BodyText"/>
        <w:ind w:left="104" w:right="123"/>
        <w:jc w:val="both"/>
      </w:pPr>
      <w:r>
        <w:t>Example items include: “Our company is continually working to improve the quality of</w:t>
      </w:r>
      <w:r>
        <w:rPr>
          <w:spacing w:val="-8"/>
        </w:rPr>
        <w:t xml:space="preserve"> </w:t>
      </w:r>
      <w:r>
        <w:t>service</w:t>
      </w:r>
      <w:r>
        <w:rPr>
          <w:spacing w:val="-11"/>
        </w:rPr>
        <w:t xml:space="preserve"> </w:t>
      </w:r>
      <w:r>
        <w:t>we</w:t>
      </w:r>
      <w:r>
        <w:rPr>
          <w:spacing w:val="-11"/>
        </w:rPr>
        <w:t xml:space="preserve"> </w:t>
      </w:r>
      <w:r>
        <w:t>provide</w:t>
      </w:r>
      <w:r>
        <w:rPr>
          <w:spacing w:val="-11"/>
        </w:rPr>
        <w:t xml:space="preserve"> </w:t>
      </w:r>
      <w:r>
        <w:t>to</w:t>
      </w:r>
      <w:r>
        <w:rPr>
          <w:spacing w:val="-13"/>
        </w:rPr>
        <w:t xml:space="preserve"> </w:t>
      </w:r>
      <w:r>
        <w:t>our</w:t>
      </w:r>
      <w:r>
        <w:rPr>
          <w:spacing w:val="-10"/>
        </w:rPr>
        <w:t xml:space="preserve"> </w:t>
      </w:r>
      <w:r>
        <w:t>customers”,</w:t>
      </w:r>
      <w:r>
        <w:rPr>
          <w:spacing w:val="-11"/>
        </w:rPr>
        <w:t xml:space="preserve"> </w:t>
      </w:r>
      <w:r>
        <w:t>and</w:t>
      </w:r>
      <w:r>
        <w:rPr>
          <w:spacing w:val="-13"/>
        </w:rPr>
        <w:t xml:space="preserve"> </w:t>
      </w:r>
      <w:r>
        <w:t>“Within</w:t>
      </w:r>
      <w:r>
        <w:rPr>
          <w:spacing w:val="-11"/>
        </w:rPr>
        <w:t xml:space="preserve"> </w:t>
      </w:r>
      <w:r>
        <w:t>our</w:t>
      </w:r>
      <w:r>
        <w:rPr>
          <w:spacing w:val="-12"/>
        </w:rPr>
        <w:t xml:space="preserve"> </w:t>
      </w:r>
      <w:r>
        <w:t>company,</w:t>
      </w:r>
      <w:r>
        <w:rPr>
          <w:spacing w:val="-9"/>
        </w:rPr>
        <w:t xml:space="preserve"> </w:t>
      </w:r>
      <w:r>
        <w:t>employees</w:t>
      </w:r>
      <w:r>
        <w:rPr>
          <w:spacing w:val="-10"/>
        </w:rPr>
        <w:t xml:space="preserve"> </w:t>
      </w:r>
      <w:r>
        <w:t>often</w:t>
      </w:r>
    </w:p>
    <w:p w:rsidR="00BF4029" w:rsidRDefault="00BF4029">
      <w:pPr>
        <w:jc w:val="both"/>
        <w:sectPr w:rsidR="00BF4029">
          <w:pgSz w:w="9980" w:h="14180"/>
          <w:pgMar w:top="1240" w:right="840" w:bottom="1100" w:left="860" w:header="625" w:footer="911" w:gutter="0"/>
          <w:cols w:space="720"/>
        </w:sectPr>
      </w:pPr>
    </w:p>
    <w:p w:rsidR="00BF4029" w:rsidRDefault="00A24DEF">
      <w:pPr>
        <w:pStyle w:val="BodyText"/>
        <w:spacing w:before="87"/>
        <w:ind w:left="104" w:right="117"/>
        <w:jc w:val="both"/>
      </w:pPr>
      <w:r>
        <w:lastRenderedPageBreak/>
        <w:t>go out of their way to help cust</w:t>
      </w:r>
      <w:r>
        <w:t>omers”. The Cronbach’s alpha of this scale in the current study is 0.80 Leadership commitment to service quality was measured by five items adopted from Yavas, Babakus and Ashill (2010). Example items include “Leadership in my company constantly communicat</w:t>
      </w:r>
      <w:r>
        <w:t>es the importance of service quality”, “Leadership shows they care about service by giving of themselves”.</w:t>
      </w:r>
    </w:p>
    <w:p w:rsidR="00BF4029" w:rsidRDefault="00BF4029">
      <w:pPr>
        <w:pStyle w:val="BodyText"/>
        <w:spacing w:before="10"/>
        <w:rPr>
          <w:sz w:val="21"/>
        </w:rPr>
      </w:pPr>
    </w:p>
    <w:p w:rsidR="00BF4029" w:rsidRDefault="00A24DEF">
      <w:pPr>
        <w:pStyle w:val="BodyText"/>
        <w:spacing w:before="1"/>
        <w:ind w:left="104" w:right="116"/>
        <w:jc w:val="both"/>
      </w:pPr>
      <w:r>
        <w:t>The Cronbach’s alpha of this scale is 0.81. The scale for service-oriented HR practices was adopted from Chuang and Liao (2010), Chan and Lam (2011)</w:t>
      </w:r>
      <w:r>
        <w:t>, and Yavas</w:t>
      </w:r>
      <w:r>
        <w:rPr>
          <w:spacing w:val="-11"/>
        </w:rPr>
        <w:t xml:space="preserve"> </w:t>
      </w:r>
      <w:r>
        <w:t>et</w:t>
      </w:r>
      <w:r>
        <w:rPr>
          <w:spacing w:val="-9"/>
        </w:rPr>
        <w:t xml:space="preserve"> </w:t>
      </w:r>
      <w:r>
        <w:t>al.</w:t>
      </w:r>
      <w:r>
        <w:rPr>
          <w:spacing w:val="-11"/>
        </w:rPr>
        <w:t xml:space="preserve"> </w:t>
      </w:r>
      <w:r>
        <w:t>(2010).</w:t>
      </w:r>
      <w:r>
        <w:rPr>
          <w:spacing w:val="-9"/>
        </w:rPr>
        <w:t xml:space="preserve"> </w:t>
      </w:r>
      <w:r>
        <w:t>Service</w:t>
      </w:r>
      <w:r>
        <w:rPr>
          <w:spacing w:val="-11"/>
        </w:rPr>
        <w:t xml:space="preserve"> </w:t>
      </w:r>
      <w:r>
        <w:t>oriented</w:t>
      </w:r>
      <w:r>
        <w:rPr>
          <w:spacing w:val="-11"/>
        </w:rPr>
        <w:t xml:space="preserve"> </w:t>
      </w:r>
      <w:r>
        <w:t>HR</w:t>
      </w:r>
      <w:r>
        <w:rPr>
          <w:spacing w:val="-13"/>
        </w:rPr>
        <w:t xml:space="preserve"> </w:t>
      </w:r>
      <w:r>
        <w:t>practices</w:t>
      </w:r>
      <w:r>
        <w:rPr>
          <w:spacing w:val="-12"/>
        </w:rPr>
        <w:t xml:space="preserve"> </w:t>
      </w:r>
      <w:r>
        <w:t>were</w:t>
      </w:r>
      <w:r>
        <w:rPr>
          <w:spacing w:val="-9"/>
        </w:rPr>
        <w:t xml:space="preserve"> </w:t>
      </w:r>
      <w:r>
        <w:t>measured</w:t>
      </w:r>
      <w:r>
        <w:rPr>
          <w:spacing w:val="-12"/>
        </w:rPr>
        <w:t xml:space="preserve"> </w:t>
      </w:r>
      <w:r>
        <w:t>as</w:t>
      </w:r>
      <w:r>
        <w:rPr>
          <w:spacing w:val="-13"/>
        </w:rPr>
        <w:t xml:space="preserve"> </w:t>
      </w:r>
      <w:r>
        <w:t>a</w:t>
      </w:r>
      <w:r>
        <w:rPr>
          <w:spacing w:val="-13"/>
        </w:rPr>
        <w:t xml:space="preserve"> </w:t>
      </w:r>
      <w:r>
        <w:t>higher</w:t>
      </w:r>
      <w:r>
        <w:rPr>
          <w:spacing w:val="-9"/>
        </w:rPr>
        <w:t xml:space="preserve"> </w:t>
      </w:r>
      <w:r>
        <w:t>order construct consisting of four dimensions, including service-oriented recruitment and selection, training, rewards and recognition, and</w:t>
      </w:r>
      <w:r>
        <w:rPr>
          <w:spacing w:val="-8"/>
        </w:rPr>
        <w:t xml:space="preserve"> </w:t>
      </w:r>
      <w:r>
        <w:t>autonomy.</w:t>
      </w:r>
    </w:p>
    <w:p w:rsidR="00BF4029" w:rsidRDefault="00BF4029">
      <w:pPr>
        <w:pStyle w:val="BodyText"/>
        <w:spacing w:before="1"/>
      </w:pPr>
    </w:p>
    <w:p w:rsidR="00BF4029" w:rsidRDefault="00A24DEF">
      <w:pPr>
        <w:pStyle w:val="BodyText"/>
        <w:ind w:left="104" w:right="116"/>
        <w:jc w:val="both"/>
      </w:pPr>
      <w:r>
        <w:t>In</w:t>
      </w:r>
      <w:r>
        <w:rPr>
          <w:spacing w:val="-10"/>
        </w:rPr>
        <w:t xml:space="preserve"> </w:t>
      </w:r>
      <w:r>
        <w:t>this</w:t>
      </w:r>
      <w:r>
        <w:rPr>
          <w:spacing w:val="-11"/>
        </w:rPr>
        <w:t xml:space="preserve"> </w:t>
      </w:r>
      <w:r>
        <w:t>study,</w:t>
      </w:r>
      <w:r>
        <w:rPr>
          <w:spacing w:val="-10"/>
        </w:rPr>
        <w:t xml:space="preserve"> </w:t>
      </w:r>
      <w:r>
        <w:t>the</w:t>
      </w:r>
      <w:r>
        <w:rPr>
          <w:spacing w:val="-9"/>
        </w:rPr>
        <w:t xml:space="preserve"> </w:t>
      </w:r>
      <w:r>
        <w:t>Cro</w:t>
      </w:r>
      <w:r>
        <w:t>nbach’s</w:t>
      </w:r>
      <w:r>
        <w:rPr>
          <w:spacing w:val="-9"/>
        </w:rPr>
        <w:t xml:space="preserve"> </w:t>
      </w:r>
      <w:r>
        <w:t>alpha</w:t>
      </w:r>
      <w:r>
        <w:rPr>
          <w:spacing w:val="-9"/>
        </w:rPr>
        <w:t xml:space="preserve"> </w:t>
      </w:r>
      <w:r>
        <w:t>value</w:t>
      </w:r>
      <w:r>
        <w:rPr>
          <w:spacing w:val="-9"/>
        </w:rPr>
        <w:t xml:space="preserve"> </w:t>
      </w:r>
      <w:r>
        <w:t>is</w:t>
      </w:r>
      <w:r>
        <w:rPr>
          <w:spacing w:val="-8"/>
        </w:rPr>
        <w:t xml:space="preserve"> </w:t>
      </w:r>
      <w:r>
        <w:t>0.81.</w:t>
      </w:r>
      <w:r>
        <w:rPr>
          <w:spacing w:val="-10"/>
        </w:rPr>
        <w:t xml:space="preserve"> </w:t>
      </w:r>
      <w:r>
        <w:t>Competitive</w:t>
      </w:r>
      <w:r>
        <w:rPr>
          <w:spacing w:val="-9"/>
        </w:rPr>
        <w:t xml:space="preserve"> </w:t>
      </w:r>
      <w:r>
        <w:t>intensity</w:t>
      </w:r>
      <w:r>
        <w:rPr>
          <w:spacing w:val="-11"/>
        </w:rPr>
        <w:t xml:space="preserve"> </w:t>
      </w:r>
      <w:r>
        <w:t>was</w:t>
      </w:r>
      <w:r>
        <w:rPr>
          <w:spacing w:val="-8"/>
        </w:rPr>
        <w:t xml:space="preserve"> </w:t>
      </w:r>
      <w:r>
        <w:t>adapted from</w:t>
      </w:r>
      <w:r>
        <w:rPr>
          <w:spacing w:val="-14"/>
        </w:rPr>
        <w:t xml:space="preserve"> </w:t>
      </w:r>
      <w:r>
        <w:t>Jaworski</w:t>
      </w:r>
      <w:r>
        <w:rPr>
          <w:spacing w:val="-16"/>
        </w:rPr>
        <w:t xml:space="preserve"> </w:t>
      </w:r>
      <w:r>
        <w:t>and</w:t>
      </w:r>
      <w:r>
        <w:rPr>
          <w:spacing w:val="-15"/>
        </w:rPr>
        <w:t xml:space="preserve"> </w:t>
      </w:r>
      <w:r>
        <w:t>Kohli</w:t>
      </w:r>
      <w:r>
        <w:rPr>
          <w:spacing w:val="-16"/>
        </w:rPr>
        <w:t xml:space="preserve"> </w:t>
      </w:r>
      <w:r>
        <w:t>(1993).</w:t>
      </w:r>
      <w:r>
        <w:rPr>
          <w:spacing w:val="-13"/>
        </w:rPr>
        <w:t xml:space="preserve"> </w:t>
      </w:r>
      <w:r>
        <w:t>Example</w:t>
      </w:r>
      <w:r>
        <w:rPr>
          <w:spacing w:val="-13"/>
        </w:rPr>
        <w:t xml:space="preserve"> </w:t>
      </w:r>
      <w:r>
        <w:t>items</w:t>
      </w:r>
      <w:r>
        <w:rPr>
          <w:spacing w:val="-15"/>
        </w:rPr>
        <w:t xml:space="preserve"> </w:t>
      </w:r>
      <w:r>
        <w:t>include:</w:t>
      </w:r>
      <w:r>
        <w:rPr>
          <w:spacing w:val="-14"/>
        </w:rPr>
        <w:t xml:space="preserve"> </w:t>
      </w:r>
      <w:r>
        <w:t>“Competition</w:t>
      </w:r>
      <w:r>
        <w:rPr>
          <w:spacing w:val="-14"/>
        </w:rPr>
        <w:t xml:space="preserve"> </w:t>
      </w:r>
      <w:r>
        <w:t>in</w:t>
      </w:r>
      <w:r>
        <w:rPr>
          <w:spacing w:val="-16"/>
        </w:rPr>
        <w:t xml:space="preserve"> </w:t>
      </w:r>
      <w:r>
        <w:t>our</w:t>
      </w:r>
      <w:r>
        <w:rPr>
          <w:spacing w:val="-16"/>
        </w:rPr>
        <w:t xml:space="preserve"> </w:t>
      </w:r>
      <w:r>
        <w:t>industry is cutthroat”, and “Competition to attract good staff in our industry is fierce”. The Cronbach’s alpha of this scale is</w:t>
      </w:r>
      <w:r>
        <w:rPr>
          <w:spacing w:val="-4"/>
        </w:rPr>
        <w:t xml:space="preserve"> </w:t>
      </w:r>
      <w:r>
        <w:t>0.84.</w:t>
      </w:r>
    </w:p>
    <w:p w:rsidR="00BF4029" w:rsidRDefault="00BF4029">
      <w:pPr>
        <w:pStyle w:val="BodyText"/>
      </w:pPr>
    </w:p>
    <w:p w:rsidR="00BF4029" w:rsidRDefault="00A24DEF">
      <w:pPr>
        <w:pStyle w:val="BodyText"/>
        <w:ind w:left="104" w:right="121"/>
        <w:jc w:val="both"/>
      </w:pPr>
      <w:r>
        <w:t>Finally, BCB, a seven-item scale, was adapted from King and Grace (2010). Example</w:t>
      </w:r>
      <w:r>
        <w:rPr>
          <w:spacing w:val="-4"/>
        </w:rPr>
        <w:t xml:space="preserve"> </w:t>
      </w:r>
      <w:r>
        <w:t>items</w:t>
      </w:r>
      <w:r>
        <w:rPr>
          <w:spacing w:val="-6"/>
        </w:rPr>
        <w:t xml:space="preserve"> </w:t>
      </w:r>
      <w:r>
        <w:t>include:</w:t>
      </w:r>
      <w:r>
        <w:rPr>
          <w:spacing w:val="-4"/>
        </w:rPr>
        <w:t xml:space="preserve"> </w:t>
      </w:r>
      <w:r>
        <w:t>“I</w:t>
      </w:r>
      <w:r>
        <w:rPr>
          <w:spacing w:val="-5"/>
        </w:rPr>
        <w:t xml:space="preserve"> </w:t>
      </w:r>
      <w:r>
        <w:t>demonstrate</w:t>
      </w:r>
      <w:r>
        <w:rPr>
          <w:spacing w:val="-6"/>
        </w:rPr>
        <w:t xml:space="preserve"> </w:t>
      </w:r>
      <w:r>
        <w:t>behaviors</w:t>
      </w:r>
      <w:r>
        <w:rPr>
          <w:spacing w:val="-4"/>
        </w:rPr>
        <w:t xml:space="preserve"> </w:t>
      </w:r>
      <w:r>
        <w:t>that</w:t>
      </w:r>
      <w:r>
        <w:rPr>
          <w:spacing w:val="-2"/>
        </w:rPr>
        <w:t xml:space="preserve"> </w:t>
      </w:r>
      <w:r>
        <w:t>are</w:t>
      </w:r>
      <w:r>
        <w:rPr>
          <w:spacing w:val="-6"/>
        </w:rPr>
        <w:t xml:space="preserve"> </w:t>
      </w:r>
      <w:r>
        <w:t>consistent</w:t>
      </w:r>
      <w:r>
        <w:rPr>
          <w:spacing w:val="-4"/>
        </w:rPr>
        <w:t xml:space="preserve"> </w:t>
      </w:r>
      <w:r>
        <w:t>with</w:t>
      </w:r>
      <w:r>
        <w:rPr>
          <w:spacing w:val="-4"/>
        </w:rPr>
        <w:t xml:space="preserve"> </w:t>
      </w:r>
      <w:r>
        <w:t>the</w:t>
      </w:r>
      <w:r>
        <w:rPr>
          <w:spacing w:val="-4"/>
        </w:rPr>
        <w:t xml:space="preserve"> </w:t>
      </w:r>
      <w:r>
        <w:t>brand promise of the company I work for”, and “If given the opportunity, I pass on my knowledge about my company brand to new employees”. The Cronbach’s alpha of this scale is</w:t>
      </w:r>
      <w:r>
        <w:rPr>
          <w:spacing w:val="-2"/>
        </w:rPr>
        <w:t xml:space="preserve"> </w:t>
      </w:r>
      <w:r>
        <w:t>0.82.</w:t>
      </w:r>
    </w:p>
    <w:p w:rsidR="00BF4029" w:rsidRDefault="00BF4029">
      <w:pPr>
        <w:pStyle w:val="BodyText"/>
        <w:spacing w:before="9"/>
        <w:rPr>
          <w:sz w:val="21"/>
        </w:rPr>
      </w:pPr>
    </w:p>
    <w:p w:rsidR="00BF4029" w:rsidRDefault="00A24DEF">
      <w:pPr>
        <w:pStyle w:val="Heading1"/>
        <w:spacing w:line="360" w:lineRule="auto"/>
        <w:ind w:right="5193"/>
      </w:pPr>
      <w:r>
        <w:t>Data analysis and results Confirma</w:t>
      </w:r>
      <w:r>
        <w:t>tory factor</w:t>
      </w:r>
      <w:r>
        <w:rPr>
          <w:spacing w:val="-12"/>
        </w:rPr>
        <w:t xml:space="preserve"> </w:t>
      </w:r>
      <w:r>
        <w:t>analysis</w:t>
      </w:r>
    </w:p>
    <w:p w:rsidR="00BF4029" w:rsidRDefault="00A24DEF">
      <w:pPr>
        <w:pStyle w:val="BodyText"/>
        <w:spacing w:before="4"/>
        <w:ind w:left="104" w:right="117"/>
        <w:jc w:val="both"/>
      </w:pPr>
      <w:r>
        <w:t>The descriptive statistics and correlations among the research variables are presented in Table 2. Confirmatory factor analysis (CFA) was used to evaluate the fit of measurement model, and assess convergent and discriminant validity of</w:t>
      </w:r>
      <w:r>
        <w:t xml:space="preserve"> the constructs. The CFA of the full measurement model (five-factor model) yielded a reasonable fit with the data (χ2/df = 2.18, CFI = 0.90, IFI = 0.90, RMSEA = 0.06, SRMR</w:t>
      </w:r>
      <w:r>
        <w:rPr>
          <w:spacing w:val="-16"/>
        </w:rPr>
        <w:t xml:space="preserve"> </w:t>
      </w:r>
      <w:r>
        <w:t>=</w:t>
      </w:r>
      <w:r>
        <w:rPr>
          <w:spacing w:val="-14"/>
        </w:rPr>
        <w:t xml:space="preserve"> </w:t>
      </w:r>
      <w:r>
        <w:t>0.07).</w:t>
      </w:r>
      <w:r>
        <w:rPr>
          <w:spacing w:val="-14"/>
        </w:rPr>
        <w:t xml:space="preserve"> </w:t>
      </w:r>
      <w:r>
        <w:t>Further,</w:t>
      </w:r>
      <w:r>
        <w:rPr>
          <w:spacing w:val="-18"/>
        </w:rPr>
        <w:t xml:space="preserve"> </w:t>
      </w:r>
      <w:r>
        <w:t>when</w:t>
      </w:r>
      <w:r>
        <w:rPr>
          <w:spacing w:val="-12"/>
        </w:rPr>
        <w:t xml:space="preserve"> </w:t>
      </w:r>
      <w:r>
        <w:t>we</w:t>
      </w:r>
      <w:r>
        <w:rPr>
          <w:spacing w:val="-15"/>
        </w:rPr>
        <w:t xml:space="preserve"> </w:t>
      </w:r>
      <w:r>
        <w:t>compared</w:t>
      </w:r>
      <w:r>
        <w:rPr>
          <w:spacing w:val="-14"/>
        </w:rPr>
        <w:t xml:space="preserve"> </w:t>
      </w:r>
      <w:r>
        <w:t>the</w:t>
      </w:r>
      <w:r>
        <w:rPr>
          <w:spacing w:val="-18"/>
        </w:rPr>
        <w:t xml:space="preserve"> </w:t>
      </w:r>
      <w:r>
        <w:t>five-factor</w:t>
      </w:r>
      <w:r>
        <w:rPr>
          <w:spacing w:val="-16"/>
        </w:rPr>
        <w:t xml:space="preserve"> </w:t>
      </w:r>
      <w:r>
        <w:t>model</w:t>
      </w:r>
      <w:r>
        <w:rPr>
          <w:spacing w:val="-16"/>
        </w:rPr>
        <w:t xml:space="preserve"> </w:t>
      </w:r>
      <w:r>
        <w:t>with</w:t>
      </w:r>
      <w:r>
        <w:rPr>
          <w:spacing w:val="-15"/>
        </w:rPr>
        <w:t xml:space="preserve"> </w:t>
      </w:r>
      <w:r>
        <w:t>the</w:t>
      </w:r>
      <w:r>
        <w:rPr>
          <w:spacing w:val="-18"/>
        </w:rPr>
        <w:t xml:space="preserve"> </w:t>
      </w:r>
      <w:r>
        <w:t>alternative models (Model 2 to Model 5), the results indicated that the five-factor model was superior to the four alternative models (see Table</w:t>
      </w:r>
      <w:r>
        <w:rPr>
          <w:spacing w:val="-7"/>
        </w:rPr>
        <w:t xml:space="preserve"> </w:t>
      </w:r>
      <w:r>
        <w:t>3).</w:t>
      </w:r>
    </w:p>
    <w:p w:rsidR="00BF4029" w:rsidRDefault="00BF4029">
      <w:pPr>
        <w:pStyle w:val="BodyText"/>
        <w:spacing w:before="10"/>
        <w:rPr>
          <w:sz w:val="21"/>
        </w:rPr>
      </w:pPr>
    </w:p>
    <w:p w:rsidR="00BF4029" w:rsidRDefault="00A24DEF">
      <w:pPr>
        <w:pStyle w:val="BodyText"/>
        <w:spacing w:before="1"/>
        <w:ind w:left="104" w:right="116"/>
        <w:jc w:val="both"/>
      </w:pPr>
      <w:r>
        <w:t>The CFA also provided support for convergent and discriminant validity of all constructs. The standardized</w:t>
      </w:r>
      <w:r>
        <w:t xml:space="preserve"> factor loadings for all constructs in this study range from 0.57 to 0.87 and were significant (p&lt;0.001) (see Appendix A). Composite reliability (CR) values for all constructs range from 0.83 to 0.94, exceeding the prescribed minimum requirement (0.6). The</w:t>
      </w:r>
      <w:r>
        <w:t xml:space="preserve"> Cronbach alpha values exceeded 0.7, and the AVE values all exceeded 0.5 (see Table 2).</w:t>
      </w:r>
    </w:p>
    <w:p w:rsidR="00BF4029" w:rsidRDefault="00BF4029">
      <w:pPr>
        <w:jc w:val="both"/>
        <w:sectPr w:rsidR="00BF4029">
          <w:pgSz w:w="9980" w:h="14180"/>
          <w:pgMar w:top="1240" w:right="840" w:bottom="1100" w:left="860" w:header="625" w:footer="911" w:gutter="0"/>
          <w:cols w:space="720"/>
        </w:sectPr>
      </w:pPr>
    </w:p>
    <w:p w:rsidR="00BF4029" w:rsidRDefault="00A24DEF">
      <w:pPr>
        <w:spacing w:before="84"/>
        <w:ind w:left="825"/>
        <w:rPr>
          <w:sz w:val="18"/>
        </w:rPr>
      </w:pPr>
      <w:r>
        <w:rPr>
          <w:b/>
          <w:sz w:val="18"/>
        </w:rPr>
        <w:lastRenderedPageBreak/>
        <w:t xml:space="preserve">Table 2. </w:t>
      </w:r>
      <w:r>
        <w:rPr>
          <w:sz w:val="18"/>
        </w:rPr>
        <w:t>Descriptive statistics and correlation matrix</w:t>
      </w:r>
    </w:p>
    <w:p w:rsidR="00BF4029" w:rsidRDefault="00BF4029">
      <w:pPr>
        <w:pStyle w:val="BodyText"/>
        <w:spacing w:before="9"/>
        <w:rPr>
          <w:sz w:val="28"/>
        </w:rPr>
      </w:pPr>
    </w:p>
    <w:tbl>
      <w:tblPr>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7"/>
        <w:gridCol w:w="768"/>
        <w:gridCol w:w="977"/>
        <w:gridCol w:w="1116"/>
        <w:gridCol w:w="992"/>
        <w:gridCol w:w="706"/>
        <w:gridCol w:w="480"/>
        <w:gridCol w:w="488"/>
        <w:gridCol w:w="485"/>
        <w:gridCol w:w="487"/>
      </w:tblGrid>
      <w:tr w:rsidR="00BF4029">
        <w:trPr>
          <w:trHeight w:val="609"/>
        </w:trPr>
        <w:tc>
          <w:tcPr>
            <w:tcW w:w="1387" w:type="dxa"/>
            <w:tcBorders>
              <w:left w:val="single" w:sz="6" w:space="0" w:color="000000"/>
            </w:tcBorders>
          </w:tcPr>
          <w:p w:rsidR="00BF4029" w:rsidRDefault="00BF4029">
            <w:pPr>
              <w:pStyle w:val="TableParagraph"/>
              <w:ind w:left="0"/>
              <w:rPr>
                <w:rFonts w:ascii="Times New Roman"/>
                <w:sz w:val="18"/>
              </w:rPr>
            </w:pPr>
          </w:p>
        </w:tc>
        <w:tc>
          <w:tcPr>
            <w:tcW w:w="768" w:type="dxa"/>
          </w:tcPr>
          <w:p w:rsidR="00BF4029" w:rsidRDefault="00BF4029">
            <w:pPr>
              <w:pStyle w:val="TableParagraph"/>
              <w:spacing w:before="10"/>
              <w:ind w:left="0"/>
              <w:rPr>
                <w:sz w:val="15"/>
              </w:rPr>
            </w:pPr>
          </w:p>
          <w:p w:rsidR="00BF4029" w:rsidRDefault="00A24DEF">
            <w:pPr>
              <w:pStyle w:val="TableParagraph"/>
              <w:spacing w:line="206" w:lineRule="exact"/>
              <w:ind w:left="281" w:right="106"/>
              <w:rPr>
                <w:b/>
                <w:sz w:val="18"/>
              </w:rPr>
            </w:pPr>
            <w:r>
              <w:rPr>
                <w:b/>
                <w:sz w:val="18"/>
              </w:rPr>
              <w:t xml:space="preserve">Mea </w:t>
            </w:r>
            <w:r>
              <w:rPr>
                <w:b/>
                <w:w w:val="105"/>
                <w:sz w:val="18"/>
              </w:rPr>
              <w:t>n</w:t>
            </w:r>
          </w:p>
        </w:tc>
        <w:tc>
          <w:tcPr>
            <w:tcW w:w="977" w:type="dxa"/>
          </w:tcPr>
          <w:p w:rsidR="00BF4029" w:rsidRDefault="00A24DEF">
            <w:pPr>
              <w:pStyle w:val="TableParagraph"/>
              <w:spacing w:before="179"/>
              <w:ind w:left="341" w:right="322"/>
              <w:jc w:val="center"/>
              <w:rPr>
                <w:b/>
                <w:sz w:val="18"/>
              </w:rPr>
            </w:pPr>
            <w:r>
              <w:rPr>
                <w:b/>
                <w:w w:val="105"/>
                <w:sz w:val="18"/>
              </w:rPr>
              <w:t>SD</w:t>
            </w:r>
          </w:p>
        </w:tc>
        <w:tc>
          <w:tcPr>
            <w:tcW w:w="1116" w:type="dxa"/>
          </w:tcPr>
          <w:p w:rsidR="00BF4029" w:rsidRDefault="00A24DEF">
            <w:pPr>
              <w:pStyle w:val="TableParagraph"/>
              <w:spacing w:before="56" w:line="247" w:lineRule="auto"/>
              <w:ind w:left="118" w:firstLine="19"/>
              <w:rPr>
                <w:b/>
                <w:sz w:val="16"/>
              </w:rPr>
            </w:pPr>
            <w:r>
              <w:rPr>
                <w:b/>
                <w:sz w:val="16"/>
              </w:rPr>
              <w:t xml:space="preserve">Cronbach </w:t>
            </w:r>
            <w:r>
              <w:rPr>
                <w:b/>
                <w:w w:val="105"/>
                <w:sz w:val="16"/>
              </w:rPr>
              <w:t>alpha</w:t>
            </w:r>
          </w:p>
        </w:tc>
        <w:tc>
          <w:tcPr>
            <w:tcW w:w="992" w:type="dxa"/>
          </w:tcPr>
          <w:p w:rsidR="00BF4029" w:rsidRDefault="00BF4029">
            <w:pPr>
              <w:pStyle w:val="TableParagraph"/>
              <w:spacing w:before="10"/>
              <w:ind w:left="0"/>
              <w:rPr>
                <w:sz w:val="15"/>
              </w:rPr>
            </w:pPr>
          </w:p>
          <w:p w:rsidR="00BF4029" w:rsidRDefault="00A24DEF">
            <w:pPr>
              <w:pStyle w:val="TableParagraph"/>
              <w:spacing w:line="206" w:lineRule="exact"/>
              <w:ind w:left="426" w:right="420"/>
              <w:jc w:val="center"/>
              <w:rPr>
                <w:b/>
                <w:sz w:val="18"/>
              </w:rPr>
            </w:pPr>
            <w:r>
              <w:rPr>
                <w:b/>
                <w:sz w:val="18"/>
              </w:rPr>
              <w:t>C R</w:t>
            </w:r>
          </w:p>
        </w:tc>
        <w:tc>
          <w:tcPr>
            <w:tcW w:w="706" w:type="dxa"/>
          </w:tcPr>
          <w:p w:rsidR="00BF4029" w:rsidRDefault="00A24DEF">
            <w:pPr>
              <w:pStyle w:val="TableParagraph"/>
              <w:spacing w:before="179"/>
              <w:ind w:left="310"/>
              <w:rPr>
                <w:b/>
                <w:sz w:val="18"/>
              </w:rPr>
            </w:pPr>
            <w:r>
              <w:rPr>
                <w:b/>
                <w:sz w:val="18"/>
              </w:rPr>
              <w:t>AVE</w:t>
            </w:r>
          </w:p>
        </w:tc>
        <w:tc>
          <w:tcPr>
            <w:tcW w:w="480" w:type="dxa"/>
          </w:tcPr>
          <w:p w:rsidR="00BF4029" w:rsidRDefault="00A24DEF">
            <w:pPr>
              <w:pStyle w:val="TableParagraph"/>
              <w:spacing w:before="179"/>
              <w:jc w:val="center"/>
              <w:rPr>
                <w:b/>
                <w:sz w:val="18"/>
              </w:rPr>
            </w:pPr>
            <w:r>
              <w:rPr>
                <w:b/>
                <w:w w:val="99"/>
                <w:sz w:val="18"/>
              </w:rPr>
              <w:t>1</w:t>
            </w:r>
          </w:p>
        </w:tc>
        <w:tc>
          <w:tcPr>
            <w:tcW w:w="488" w:type="dxa"/>
          </w:tcPr>
          <w:p w:rsidR="00BF4029" w:rsidRDefault="00A24DEF">
            <w:pPr>
              <w:pStyle w:val="TableParagraph"/>
              <w:spacing w:before="179"/>
              <w:ind w:left="10"/>
              <w:jc w:val="center"/>
              <w:rPr>
                <w:b/>
                <w:sz w:val="18"/>
              </w:rPr>
            </w:pPr>
            <w:r>
              <w:rPr>
                <w:b/>
                <w:w w:val="99"/>
                <w:sz w:val="18"/>
              </w:rPr>
              <w:t>2</w:t>
            </w:r>
          </w:p>
        </w:tc>
        <w:tc>
          <w:tcPr>
            <w:tcW w:w="485" w:type="dxa"/>
          </w:tcPr>
          <w:p w:rsidR="00BF4029" w:rsidRDefault="00A24DEF">
            <w:pPr>
              <w:pStyle w:val="TableParagraph"/>
              <w:spacing w:before="179"/>
              <w:ind w:left="8"/>
              <w:jc w:val="center"/>
              <w:rPr>
                <w:b/>
                <w:sz w:val="18"/>
              </w:rPr>
            </w:pPr>
            <w:r>
              <w:rPr>
                <w:b/>
                <w:w w:val="99"/>
                <w:sz w:val="18"/>
              </w:rPr>
              <w:t>3</w:t>
            </w:r>
          </w:p>
        </w:tc>
        <w:tc>
          <w:tcPr>
            <w:tcW w:w="487" w:type="dxa"/>
          </w:tcPr>
          <w:p w:rsidR="00BF4029" w:rsidRDefault="00A24DEF">
            <w:pPr>
              <w:pStyle w:val="TableParagraph"/>
              <w:spacing w:before="179"/>
              <w:ind w:left="11"/>
              <w:jc w:val="center"/>
              <w:rPr>
                <w:b/>
                <w:sz w:val="18"/>
              </w:rPr>
            </w:pPr>
            <w:r>
              <w:rPr>
                <w:b/>
                <w:w w:val="99"/>
                <w:sz w:val="18"/>
              </w:rPr>
              <w:t>4</w:t>
            </w:r>
          </w:p>
        </w:tc>
      </w:tr>
      <w:tr w:rsidR="00BF4029">
        <w:trPr>
          <w:trHeight w:val="419"/>
        </w:trPr>
        <w:tc>
          <w:tcPr>
            <w:tcW w:w="1387" w:type="dxa"/>
            <w:tcBorders>
              <w:left w:val="single" w:sz="6" w:space="0" w:color="000000"/>
            </w:tcBorders>
          </w:tcPr>
          <w:p w:rsidR="00BF4029" w:rsidRDefault="00A24DEF">
            <w:pPr>
              <w:pStyle w:val="TableParagraph"/>
              <w:spacing w:line="210" w:lineRule="atLeast"/>
              <w:ind w:left="105"/>
              <w:rPr>
                <w:sz w:val="18"/>
              </w:rPr>
            </w:pPr>
            <w:r>
              <w:rPr>
                <w:w w:val="105"/>
                <w:sz w:val="18"/>
              </w:rPr>
              <w:t>1. Service climate</w:t>
            </w:r>
          </w:p>
        </w:tc>
        <w:tc>
          <w:tcPr>
            <w:tcW w:w="768" w:type="dxa"/>
          </w:tcPr>
          <w:p w:rsidR="00BF4029" w:rsidRDefault="00A24DEF">
            <w:pPr>
              <w:pStyle w:val="TableParagraph"/>
              <w:spacing w:before="3"/>
              <w:ind w:left="113"/>
              <w:rPr>
                <w:sz w:val="18"/>
              </w:rPr>
            </w:pPr>
            <w:r>
              <w:rPr>
                <w:w w:val="105"/>
                <w:sz w:val="18"/>
              </w:rPr>
              <w:t>5.31</w:t>
            </w:r>
          </w:p>
        </w:tc>
        <w:tc>
          <w:tcPr>
            <w:tcW w:w="977" w:type="dxa"/>
          </w:tcPr>
          <w:p w:rsidR="00BF4029" w:rsidRDefault="00A24DEF">
            <w:pPr>
              <w:pStyle w:val="TableParagraph"/>
              <w:spacing w:before="3"/>
              <w:ind w:left="113"/>
              <w:rPr>
                <w:sz w:val="18"/>
              </w:rPr>
            </w:pPr>
            <w:r>
              <w:rPr>
                <w:w w:val="105"/>
                <w:sz w:val="18"/>
              </w:rPr>
              <w:t>0.89</w:t>
            </w:r>
          </w:p>
        </w:tc>
        <w:tc>
          <w:tcPr>
            <w:tcW w:w="1116" w:type="dxa"/>
          </w:tcPr>
          <w:p w:rsidR="00BF4029" w:rsidRDefault="00A24DEF">
            <w:pPr>
              <w:pStyle w:val="TableParagraph"/>
              <w:spacing w:before="3"/>
              <w:ind w:left="113"/>
              <w:rPr>
                <w:sz w:val="18"/>
              </w:rPr>
            </w:pPr>
            <w:r>
              <w:rPr>
                <w:w w:val="105"/>
                <w:sz w:val="18"/>
              </w:rPr>
              <w:t>0.80</w:t>
            </w:r>
          </w:p>
        </w:tc>
        <w:tc>
          <w:tcPr>
            <w:tcW w:w="992" w:type="dxa"/>
          </w:tcPr>
          <w:p w:rsidR="00BF4029" w:rsidRDefault="00A24DEF">
            <w:pPr>
              <w:pStyle w:val="TableParagraph"/>
              <w:spacing w:before="3"/>
              <w:ind w:left="106"/>
              <w:rPr>
                <w:sz w:val="18"/>
              </w:rPr>
            </w:pPr>
            <w:r>
              <w:rPr>
                <w:w w:val="105"/>
                <w:sz w:val="18"/>
              </w:rPr>
              <w:t>0.86</w:t>
            </w:r>
          </w:p>
        </w:tc>
        <w:tc>
          <w:tcPr>
            <w:tcW w:w="706" w:type="dxa"/>
          </w:tcPr>
          <w:p w:rsidR="00BF4029" w:rsidRDefault="00A24DEF">
            <w:pPr>
              <w:pStyle w:val="TableParagraph"/>
              <w:spacing w:before="3"/>
              <w:ind w:left="108"/>
              <w:rPr>
                <w:sz w:val="18"/>
              </w:rPr>
            </w:pPr>
            <w:r>
              <w:rPr>
                <w:w w:val="105"/>
                <w:sz w:val="18"/>
              </w:rPr>
              <w:t>0.50</w:t>
            </w:r>
          </w:p>
        </w:tc>
        <w:tc>
          <w:tcPr>
            <w:tcW w:w="480" w:type="dxa"/>
          </w:tcPr>
          <w:p w:rsidR="00BF4029" w:rsidRDefault="00BF4029">
            <w:pPr>
              <w:pStyle w:val="TableParagraph"/>
              <w:ind w:left="0"/>
              <w:rPr>
                <w:rFonts w:ascii="Times New Roman"/>
                <w:sz w:val="18"/>
              </w:rPr>
            </w:pPr>
          </w:p>
        </w:tc>
        <w:tc>
          <w:tcPr>
            <w:tcW w:w="488" w:type="dxa"/>
          </w:tcPr>
          <w:p w:rsidR="00BF4029" w:rsidRDefault="00BF4029">
            <w:pPr>
              <w:pStyle w:val="TableParagraph"/>
              <w:ind w:left="0"/>
              <w:rPr>
                <w:rFonts w:ascii="Times New Roman"/>
                <w:sz w:val="18"/>
              </w:rPr>
            </w:pPr>
          </w:p>
        </w:tc>
        <w:tc>
          <w:tcPr>
            <w:tcW w:w="485" w:type="dxa"/>
          </w:tcPr>
          <w:p w:rsidR="00BF4029" w:rsidRDefault="00BF4029">
            <w:pPr>
              <w:pStyle w:val="TableParagraph"/>
              <w:ind w:left="0"/>
              <w:rPr>
                <w:rFonts w:ascii="Times New Roman"/>
                <w:sz w:val="18"/>
              </w:rPr>
            </w:pPr>
          </w:p>
        </w:tc>
        <w:tc>
          <w:tcPr>
            <w:tcW w:w="487" w:type="dxa"/>
          </w:tcPr>
          <w:p w:rsidR="00BF4029" w:rsidRDefault="00BF4029">
            <w:pPr>
              <w:pStyle w:val="TableParagraph"/>
              <w:ind w:left="0"/>
              <w:rPr>
                <w:rFonts w:ascii="Times New Roman"/>
                <w:sz w:val="18"/>
              </w:rPr>
            </w:pPr>
          </w:p>
        </w:tc>
      </w:tr>
      <w:tr w:rsidR="00BF4029">
        <w:trPr>
          <w:trHeight w:val="625"/>
        </w:trPr>
        <w:tc>
          <w:tcPr>
            <w:tcW w:w="1387" w:type="dxa"/>
            <w:tcBorders>
              <w:left w:val="single" w:sz="6" w:space="0" w:color="000000"/>
            </w:tcBorders>
          </w:tcPr>
          <w:p w:rsidR="00BF4029" w:rsidRDefault="00A24DEF">
            <w:pPr>
              <w:pStyle w:val="TableParagraph"/>
              <w:spacing w:before="3"/>
              <w:ind w:left="105"/>
              <w:rPr>
                <w:sz w:val="18"/>
              </w:rPr>
            </w:pPr>
            <w:r>
              <w:rPr>
                <w:w w:val="105"/>
                <w:sz w:val="18"/>
              </w:rPr>
              <w:t>2. Leadership</w:t>
            </w:r>
          </w:p>
          <w:p w:rsidR="00BF4029" w:rsidRDefault="00A24DEF">
            <w:pPr>
              <w:pStyle w:val="TableParagraph"/>
              <w:spacing w:before="6" w:line="206" w:lineRule="exact"/>
              <w:ind w:left="105" w:right="10"/>
              <w:rPr>
                <w:sz w:val="18"/>
              </w:rPr>
            </w:pPr>
            <w:r>
              <w:rPr>
                <w:w w:val="105"/>
                <w:sz w:val="18"/>
              </w:rPr>
              <w:t>commitment to SQ</w:t>
            </w:r>
          </w:p>
        </w:tc>
        <w:tc>
          <w:tcPr>
            <w:tcW w:w="768" w:type="dxa"/>
          </w:tcPr>
          <w:p w:rsidR="00BF4029" w:rsidRDefault="00A24DEF">
            <w:pPr>
              <w:pStyle w:val="TableParagraph"/>
              <w:spacing w:before="3"/>
              <w:ind w:left="113"/>
              <w:rPr>
                <w:sz w:val="18"/>
              </w:rPr>
            </w:pPr>
            <w:r>
              <w:rPr>
                <w:w w:val="105"/>
                <w:sz w:val="18"/>
              </w:rPr>
              <w:t>5.53</w:t>
            </w:r>
          </w:p>
        </w:tc>
        <w:tc>
          <w:tcPr>
            <w:tcW w:w="977" w:type="dxa"/>
          </w:tcPr>
          <w:p w:rsidR="00BF4029" w:rsidRDefault="00A24DEF">
            <w:pPr>
              <w:pStyle w:val="TableParagraph"/>
              <w:spacing w:before="3"/>
              <w:ind w:left="113"/>
              <w:rPr>
                <w:sz w:val="18"/>
              </w:rPr>
            </w:pPr>
            <w:r>
              <w:rPr>
                <w:w w:val="105"/>
                <w:sz w:val="18"/>
              </w:rPr>
              <w:t>0.98</w:t>
            </w:r>
          </w:p>
        </w:tc>
        <w:tc>
          <w:tcPr>
            <w:tcW w:w="1116" w:type="dxa"/>
          </w:tcPr>
          <w:p w:rsidR="00BF4029" w:rsidRDefault="00A24DEF">
            <w:pPr>
              <w:pStyle w:val="TableParagraph"/>
              <w:spacing w:before="3"/>
              <w:ind w:left="113"/>
              <w:rPr>
                <w:sz w:val="18"/>
              </w:rPr>
            </w:pPr>
            <w:r>
              <w:rPr>
                <w:w w:val="105"/>
                <w:sz w:val="18"/>
              </w:rPr>
              <w:t>0.81</w:t>
            </w:r>
          </w:p>
        </w:tc>
        <w:tc>
          <w:tcPr>
            <w:tcW w:w="992" w:type="dxa"/>
          </w:tcPr>
          <w:p w:rsidR="00BF4029" w:rsidRDefault="00A24DEF">
            <w:pPr>
              <w:pStyle w:val="TableParagraph"/>
              <w:spacing w:before="3"/>
              <w:ind w:left="106"/>
              <w:rPr>
                <w:sz w:val="18"/>
              </w:rPr>
            </w:pPr>
            <w:r>
              <w:rPr>
                <w:w w:val="105"/>
                <w:sz w:val="18"/>
              </w:rPr>
              <w:t>0.84</w:t>
            </w:r>
          </w:p>
        </w:tc>
        <w:tc>
          <w:tcPr>
            <w:tcW w:w="706" w:type="dxa"/>
          </w:tcPr>
          <w:p w:rsidR="00BF4029" w:rsidRDefault="00A24DEF">
            <w:pPr>
              <w:pStyle w:val="TableParagraph"/>
              <w:spacing w:before="3"/>
              <w:ind w:left="108"/>
              <w:rPr>
                <w:sz w:val="18"/>
              </w:rPr>
            </w:pPr>
            <w:r>
              <w:rPr>
                <w:w w:val="105"/>
                <w:sz w:val="18"/>
              </w:rPr>
              <w:t>0.60</w:t>
            </w:r>
          </w:p>
        </w:tc>
        <w:tc>
          <w:tcPr>
            <w:tcW w:w="480" w:type="dxa"/>
          </w:tcPr>
          <w:p w:rsidR="00BF4029" w:rsidRDefault="00A24DEF">
            <w:pPr>
              <w:pStyle w:val="TableParagraph"/>
              <w:spacing w:before="3"/>
              <w:ind w:left="0"/>
              <w:jc w:val="right"/>
              <w:rPr>
                <w:sz w:val="18"/>
              </w:rPr>
            </w:pPr>
            <w:r>
              <w:rPr>
                <w:sz w:val="18"/>
              </w:rPr>
              <w:t>0.62</w:t>
            </w:r>
          </w:p>
        </w:tc>
        <w:tc>
          <w:tcPr>
            <w:tcW w:w="488" w:type="dxa"/>
          </w:tcPr>
          <w:p w:rsidR="00BF4029" w:rsidRDefault="00BF4029">
            <w:pPr>
              <w:pStyle w:val="TableParagraph"/>
              <w:ind w:left="0"/>
              <w:rPr>
                <w:rFonts w:ascii="Times New Roman"/>
                <w:sz w:val="18"/>
              </w:rPr>
            </w:pPr>
          </w:p>
        </w:tc>
        <w:tc>
          <w:tcPr>
            <w:tcW w:w="485" w:type="dxa"/>
          </w:tcPr>
          <w:p w:rsidR="00BF4029" w:rsidRDefault="00BF4029">
            <w:pPr>
              <w:pStyle w:val="TableParagraph"/>
              <w:ind w:left="0"/>
              <w:rPr>
                <w:rFonts w:ascii="Times New Roman"/>
                <w:sz w:val="18"/>
              </w:rPr>
            </w:pPr>
          </w:p>
        </w:tc>
        <w:tc>
          <w:tcPr>
            <w:tcW w:w="487" w:type="dxa"/>
          </w:tcPr>
          <w:p w:rsidR="00BF4029" w:rsidRDefault="00BF4029">
            <w:pPr>
              <w:pStyle w:val="TableParagraph"/>
              <w:ind w:left="0"/>
              <w:rPr>
                <w:rFonts w:ascii="Times New Roman"/>
                <w:sz w:val="18"/>
              </w:rPr>
            </w:pPr>
          </w:p>
        </w:tc>
      </w:tr>
      <w:tr w:rsidR="00BF4029">
        <w:trPr>
          <w:trHeight w:val="624"/>
        </w:trPr>
        <w:tc>
          <w:tcPr>
            <w:tcW w:w="1387" w:type="dxa"/>
            <w:tcBorders>
              <w:left w:val="single" w:sz="6" w:space="0" w:color="000000"/>
            </w:tcBorders>
          </w:tcPr>
          <w:p w:rsidR="00BF4029" w:rsidRDefault="00A24DEF">
            <w:pPr>
              <w:pStyle w:val="TableParagraph"/>
              <w:spacing w:before="1"/>
              <w:ind w:left="105"/>
              <w:rPr>
                <w:sz w:val="18"/>
              </w:rPr>
            </w:pPr>
            <w:r>
              <w:rPr>
                <w:w w:val="105"/>
                <w:sz w:val="18"/>
              </w:rPr>
              <w:t>3. Service-</w:t>
            </w:r>
          </w:p>
          <w:p w:rsidR="00BF4029" w:rsidRDefault="00A24DEF">
            <w:pPr>
              <w:pStyle w:val="TableParagraph"/>
              <w:spacing w:before="2" w:line="200" w:lineRule="atLeast"/>
              <w:ind w:left="105"/>
              <w:rPr>
                <w:sz w:val="18"/>
              </w:rPr>
            </w:pPr>
            <w:r>
              <w:rPr>
                <w:w w:val="105"/>
                <w:sz w:val="18"/>
              </w:rPr>
              <w:t>oriented HR practices</w:t>
            </w:r>
          </w:p>
        </w:tc>
        <w:tc>
          <w:tcPr>
            <w:tcW w:w="768" w:type="dxa"/>
          </w:tcPr>
          <w:p w:rsidR="00BF4029" w:rsidRDefault="00A24DEF">
            <w:pPr>
              <w:pStyle w:val="TableParagraph"/>
              <w:spacing w:before="1"/>
              <w:ind w:left="113"/>
              <w:rPr>
                <w:sz w:val="18"/>
              </w:rPr>
            </w:pPr>
            <w:r>
              <w:rPr>
                <w:w w:val="105"/>
                <w:sz w:val="18"/>
              </w:rPr>
              <w:t>5.01</w:t>
            </w:r>
          </w:p>
        </w:tc>
        <w:tc>
          <w:tcPr>
            <w:tcW w:w="977" w:type="dxa"/>
          </w:tcPr>
          <w:p w:rsidR="00BF4029" w:rsidRDefault="00A24DEF">
            <w:pPr>
              <w:pStyle w:val="TableParagraph"/>
              <w:spacing w:before="1"/>
              <w:ind w:left="113"/>
              <w:rPr>
                <w:sz w:val="18"/>
              </w:rPr>
            </w:pPr>
            <w:r>
              <w:rPr>
                <w:w w:val="105"/>
                <w:sz w:val="18"/>
              </w:rPr>
              <w:t>0.89</w:t>
            </w:r>
          </w:p>
        </w:tc>
        <w:tc>
          <w:tcPr>
            <w:tcW w:w="1116" w:type="dxa"/>
          </w:tcPr>
          <w:p w:rsidR="00BF4029" w:rsidRDefault="00A24DEF">
            <w:pPr>
              <w:pStyle w:val="TableParagraph"/>
              <w:spacing w:before="1"/>
              <w:ind w:left="113"/>
              <w:rPr>
                <w:sz w:val="18"/>
              </w:rPr>
            </w:pPr>
            <w:r>
              <w:rPr>
                <w:w w:val="105"/>
                <w:sz w:val="18"/>
              </w:rPr>
              <w:t>0.81</w:t>
            </w:r>
          </w:p>
        </w:tc>
        <w:tc>
          <w:tcPr>
            <w:tcW w:w="992" w:type="dxa"/>
          </w:tcPr>
          <w:p w:rsidR="00BF4029" w:rsidRDefault="00A24DEF">
            <w:pPr>
              <w:pStyle w:val="TableParagraph"/>
              <w:spacing w:before="1"/>
              <w:ind w:left="106"/>
              <w:rPr>
                <w:sz w:val="18"/>
              </w:rPr>
            </w:pPr>
            <w:r>
              <w:rPr>
                <w:w w:val="105"/>
                <w:sz w:val="18"/>
              </w:rPr>
              <w:t>0.94</w:t>
            </w:r>
          </w:p>
        </w:tc>
        <w:tc>
          <w:tcPr>
            <w:tcW w:w="706" w:type="dxa"/>
          </w:tcPr>
          <w:p w:rsidR="00BF4029" w:rsidRDefault="00A24DEF">
            <w:pPr>
              <w:pStyle w:val="TableParagraph"/>
              <w:spacing w:before="1"/>
              <w:ind w:left="108"/>
              <w:rPr>
                <w:sz w:val="18"/>
              </w:rPr>
            </w:pPr>
            <w:r>
              <w:rPr>
                <w:w w:val="105"/>
                <w:sz w:val="18"/>
              </w:rPr>
              <w:t>0.61</w:t>
            </w:r>
          </w:p>
        </w:tc>
        <w:tc>
          <w:tcPr>
            <w:tcW w:w="480" w:type="dxa"/>
          </w:tcPr>
          <w:p w:rsidR="00BF4029" w:rsidRDefault="00A24DEF">
            <w:pPr>
              <w:pStyle w:val="TableParagraph"/>
              <w:spacing w:before="1"/>
              <w:ind w:left="0"/>
              <w:jc w:val="right"/>
              <w:rPr>
                <w:sz w:val="18"/>
              </w:rPr>
            </w:pPr>
            <w:r>
              <w:rPr>
                <w:sz w:val="18"/>
              </w:rPr>
              <w:t>0.66</w:t>
            </w:r>
          </w:p>
        </w:tc>
        <w:tc>
          <w:tcPr>
            <w:tcW w:w="488" w:type="dxa"/>
          </w:tcPr>
          <w:p w:rsidR="00BF4029" w:rsidRDefault="00A24DEF">
            <w:pPr>
              <w:pStyle w:val="TableParagraph"/>
              <w:spacing w:before="1"/>
              <w:ind w:left="0"/>
              <w:jc w:val="right"/>
              <w:rPr>
                <w:sz w:val="18"/>
              </w:rPr>
            </w:pPr>
            <w:r>
              <w:rPr>
                <w:sz w:val="18"/>
              </w:rPr>
              <w:t>0.61</w:t>
            </w:r>
          </w:p>
        </w:tc>
        <w:tc>
          <w:tcPr>
            <w:tcW w:w="485" w:type="dxa"/>
          </w:tcPr>
          <w:p w:rsidR="00BF4029" w:rsidRDefault="00BF4029">
            <w:pPr>
              <w:pStyle w:val="TableParagraph"/>
              <w:ind w:left="0"/>
              <w:rPr>
                <w:rFonts w:ascii="Times New Roman"/>
                <w:sz w:val="18"/>
              </w:rPr>
            </w:pPr>
          </w:p>
        </w:tc>
        <w:tc>
          <w:tcPr>
            <w:tcW w:w="487" w:type="dxa"/>
          </w:tcPr>
          <w:p w:rsidR="00BF4029" w:rsidRDefault="00BF4029">
            <w:pPr>
              <w:pStyle w:val="TableParagraph"/>
              <w:ind w:left="0"/>
              <w:rPr>
                <w:rFonts w:ascii="Times New Roman"/>
                <w:sz w:val="18"/>
              </w:rPr>
            </w:pPr>
          </w:p>
        </w:tc>
      </w:tr>
      <w:tr w:rsidR="00BF4029">
        <w:trPr>
          <w:trHeight w:val="419"/>
        </w:trPr>
        <w:tc>
          <w:tcPr>
            <w:tcW w:w="1387" w:type="dxa"/>
            <w:tcBorders>
              <w:left w:val="single" w:sz="6" w:space="0" w:color="000000"/>
            </w:tcBorders>
          </w:tcPr>
          <w:p w:rsidR="00BF4029" w:rsidRDefault="00A24DEF">
            <w:pPr>
              <w:pStyle w:val="TableParagraph"/>
              <w:spacing w:before="7" w:line="206" w:lineRule="exact"/>
              <w:ind w:left="105"/>
              <w:rPr>
                <w:sz w:val="18"/>
              </w:rPr>
            </w:pPr>
            <w:r>
              <w:rPr>
                <w:w w:val="105"/>
                <w:sz w:val="18"/>
              </w:rPr>
              <w:t>4. Competitive intensity</w:t>
            </w:r>
          </w:p>
        </w:tc>
        <w:tc>
          <w:tcPr>
            <w:tcW w:w="768" w:type="dxa"/>
          </w:tcPr>
          <w:p w:rsidR="00BF4029" w:rsidRDefault="00A24DEF">
            <w:pPr>
              <w:pStyle w:val="TableParagraph"/>
              <w:spacing w:before="3"/>
              <w:ind w:left="113"/>
              <w:rPr>
                <w:sz w:val="18"/>
              </w:rPr>
            </w:pPr>
            <w:r>
              <w:rPr>
                <w:w w:val="105"/>
                <w:sz w:val="18"/>
              </w:rPr>
              <w:t>5.49</w:t>
            </w:r>
          </w:p>
        </w:tc>
        <w:tc>
          <w:tcPr>
            <w:tcW w:w="977" w:type="dxa"/>
          </w:tcPr>
          <w:p w:rsidR="00BF4029" w:rsidRDefault="00A24DEF">
            <w:pPr>
              <w:pStyle w:val="TableParagraph"/>
              <w:spacing w:before="3"/>
              <w:ind w:left="113"/>
              <w:rPr>
                <w:sz w:val="18"/>
              </w:rPr>
            </w:pPr>
            <w:r>
              <w:rPr>
                <w:w w:val="105"/>
                <w:sz w:val="18"/>
              </w:rPr>
              <w:t>0.99</w:t>
            </w:r>
          </w:p>
        </w:tc>
        <w:tc>
          <w:tcPr>
            <w:tcW w:w="1116" w:type="dxa"/>
          </w:tcPr>
          <w:p w:rsidR="00BF4029" w:rsidRDefault="00A24DEF">
            <w:pPr>
              <w:pStyle w:val="TableParagraph"/>
              <w:spacing w:before="3"/>
              <w:ind w:left="113"/>
              <w:rPr>
                <w:sz w:val="18"/>
              </w:rPr>
            </w:pPr>
            <w:r>
              <w:rPr>
                <w:w w:val="105"/>
                <w:sz w:val="18"/>
              </w:rPr>
              <w:t>0.84</w:t>
            </w:r>
          </w:p>
        </w:tc>
        <w:tc>
          <w:tcPr>
            <w:tcW w:w="992" w:type="dxa"/>
          </w:tcPr>
          <w:p w:rsidR="00BF4029" w:rsidRDefault="00A24DEF">
            <w:pPr>
              <w:pStyle w:val="TableParagraph"/>
              <w:spacing w:before="3"/>
              <w:ind w:left="106"/>
              <w:rPr>
                <w:sz w:val="18"/>
              </w:rPr>
            </w:pPr>
            <w:r>
              <w:rPr>
                <w:w w:val="105"/>
                <w:sz w:val="18"/>
              </w:rPr>
              <w:t>0.83</w:t>
            </w:r>
          </w:p>
        </w:tc>
        <w:tc>
          <w:tcPr>
            <w:tcW w:w="706" w:type="dxa"/>
          </w:tcPr>
          <w:p w:rsidR="00BF4029" w:rsidRDefault="00A24DEF">
            <w:pPr>
              <w:pStyle w:val="TableParagraph"/>
              <w:spacing w:before="3"/>
              <w:ind w:left="108"/>
              <w:rPr>
                <w:sz w:val="18"/>
              </w:rPr>
            </w:pPr>
            <w:r>
              <w:rPr>
                <w:w w:val="105"/>
                <w:sz w:val="18"/>
              </w:rPr>
              <w:t>0.55</w:t>
            </w:r>
          </w:p>
        </w:tc>
        <w:tc>
          <w:tcPr>
            <w:tcW w:w="480" w:type="dxa"/>
          </w:tcPr>
          <w:p w:rsidR="00BF4029" w:rsidRDefault="00A24DEF">
            <w:pPr>
              <w:pStyle w:val="TableParagraph"/>
              <w:spacing w:before="3"/>
              <w:ind w:left="0"/>
              <w:jc w:val="right"/>
              <w:rPr>
                <w:sz w:val="18"/>
              </w:rPr>
            </w:pPr>
            <w:r>
              <w:rPr>
                <w:sz w:val="18"/>
              </w:rPr>
              <w:t>0.48</w:t>
            </w:r>
          </w:p>
        </w:tc>
        <w:tc>
          <w:tcPr>
            <w:tcW w:w="488" w:type="dxa"/>
          </w:tcPr>
          <w:p w:rsidR="00BF4029" w:rsidRDefault="00A24DEF">
            <w:pPr>
              <w:pStyle w:val="TableParagraph"/>
              <w:spacing w:before="3"/>
              <w:ind w:left="0"/>
              <w:jc w:val="right"/>
              <w:rPr>
                <w:sz w:val="18"/>
              </w:rPr>
            </w:pPr>
            <w:r>
              <w:rPr>
                <w:sz w:val="18"/>
              </w:rPr>
              <w:t>0.40</w:t>
            </w:r>
          </w:p>
        </w:tc>
        <w:tc>
          <w:tcPr>
            <w:tcW w:w="485" w:type="dxa"/>
          </w:tcPr>
          <w:p w:rsidR="00BF4029" w:rsidRDefault="00A24DEF">
            <w:pPr>
              <w:pStyle w:val="TableParagraph"/>
              <w:spacing w:before="3"/>
              <w:ind w:left="109"/>
              <w:jc w:val="center"/>
              <w:rPr>
                <w:sz w:val="18"/>
              </w:rPr>
            </w:pPr>
            <w:r>
              <w:rPr>
                <w:sz w:val="18"/>
              </w:rPr>
              <w:t>0.48</w:t>
            </w:r>
          </w:p>
        </w:tc>
        <w:tc>
          <w:tcPr>
            <w:tcW w:w="487" w:type="dxa"/>
          </w:tcPr>
          <w:p w:rsidR="00BF4029" w:rsidRDefault="00BF4029">
            <w:pPr>
              <w:pStyle w:val="TableParagraph"/>
              <w:ind w:left="0"/>
              <w:rPr>
                <w:rFonts w:ascii="Times New Roman"/>
                <w:sz w:val="18"/>
              </w:rPr>
            </w:pPr>
          </w:p>
        </w:tc>
      </w:tr>
      <w:tr w:rsidR="00BF4029">
        <w:trPr>
          <w:trHeight w:val="316"/>
        </w:trPr>
        <w:tc>
          <w:tcPr>
            <w:tcW w:w="1387" w:type="dxa"/>
            <w:tcBorders>
              <w:left w:val="single" w:sz="6" w:space="0" w:color="000000"/>
            </w:tcBorders>
          </w:tcPr>
          <w:p w:rsidR="00BF4029" w:rsidRDefault="00A24DEF">
            <w:pPr>
              <w:pStyle w:val="TableParagraph"/>
              <w:spacing w:before="3"/>
              <w:ind w:left="105"/>
              <w:rPr>
                <w:sz w:val="18"/>
              </w:rPr>
            </w:pPr>
            <w:r>
              <w:rPr>
                <w:w w:val="105"/>
                <w:sz w:val="18"/>
              </w:rPr>
              <w:t>5. BCB</w:t>
            </w:r>
          </w:p>
        </w:tc>
        <w:tc>
          <w:tcPr>
            <w:tcW w:w="768" w:type="dxa"/>
          </w:tcPr>
          <w:p w:rsidR="00BF4029" w:rsidRDefault="00A24DEF">
            <w:pPr>
              <w:pStyle w:val="TableParagraph"/>
              <w:spacing w:before="3"/>
              <w:ind w:left="113"/>
              <w:rPr>
                <w:sz w:val="18"/>
              </w:rPr>
            </w:pPr>
            <w:r>
              <w:rPr>
                <w:w w:val="105"/>
                <w:sz w:val="18"/>
              </w:rPr>
              <w:t>5.66</w:t>
            </w:r>
          </w:p>
        </w:tc>
        <w:tc>
          <w:tcPr>
            <w:tcW w:w="977" w:type="dxa"/>
          </w:tcPr>
          <w:p w:rsidR="00BF4029" w:rsidRDefault="00A24DEF">
            <w:pPr>
              <w:pStyle w:val="TableParagraph"/>
              <w:spacing w:before="3"/>
              <w:ind w:left="113"/>
              <w:rPr>
                <w:sz w:val="18"/>
              </w:rPr>
            </w:pPr>
            <w:r>
              <w:rPr>
                <w:w w:val="105"/>
                <w:sz w:val="18"/>
              </w:rPr>
              <w:t>0.88</w:t>
            </w:r>
          </w:p>
        </w:tc>
        <w:tc>
          <w:tcPr>
            <w:tcW w:w="1116" w:type="dxa"/>
          </w:tcPr>
          <w:p w:rsidR="00BF4029" w:rsidRDefault="00A24DEF">
            <w:pPr>
              <w:pStyle w:val="TableParagraph"/>
              <w:spacing w:before="3"/>
              <w:ind w:left="113"/>
              <w:rPr>
                <w:sz w:val="18"/>
              </w:rPr>
            </w:pPr>
            <w:r>
              <w:rPr>
                <w:w w:val="105"/>
                <w:sz w:val="18"/>
              </w:rPr>
              <w:t>0.82</w:t>
            </w:r>
          </w:p>
        </w:tc>
        <w:tc>
          <w:tcPr>
            <w:tcW w:w="992" w:type="dxa"/>
          </w:tcPr>
          <w:p w:rsidR="00BF4029" w:rsidRDefault="00A24DEF">
            <w:pPr>
              <w:pStyle w:val="TableParagraph"/>
              <w:spacing w:before="3"/>
              <w:ind w:left="106"/>
              <w:rPr>
                <w:sz w:val="18"/>
              </w:rPr>
            </w:pPr>
            <w:r>
              <w:rPr>
                <w:w w:val="105"/>
                <w:sz w:val="18"/>
              </w:rPr>
              <w:t>0.87</w:t>
            </w:r>
          </w:p>
        </w:tc>
        <w:tc>
          <w:tcPr>
            <w:tcW w:w="706" w:type="dxa"/>
          </w:tcPr>
          <w:p w:rsidR="00BF4029" w:rsidRDefault="00A24DEF">
            <w:pPr>
              <w:pStyle w:val="TableParagraph"/>
              <w:spacing w:before="3"/>
              <w:ind w:left="108"/>
              <w:rPr>
                <w:sz w:val="18"/>
              </w:rPr>
            </w:pPr>
            <w:r>
              <w:rPr>
                <w:w w:val="105"/>
                <w:sz w:val="18"/>
              </w:rPr>
              <w:t>0.54</w:t>
            </w:r>
          </w:p>
        </w:tc>
        <w:tc>
          <w:tcPr>
            <w:tcW w:w="480" w:type="dxa"/>
          </w:tcPr>
          <w:p w:rsidR="00BF4029" w:rsidRDefault="00A24DEF">
            <w:pPr>
              <w:pStyle w:val="TableParagraph"/>
              <w:spacing w:before="3"/>
              <w:ind w:left="0"/>
              <w:jc w:val="right"/>
              <w:rPr>
                <w:sz w:val="18"/>
              </w:rPr>
            </w:pPr>
            <w:r>
              <w:rPr>
                <w:sz w:val="18"/>
              </w:rPr>
              <w:t>0.53</w:t>
            </w:r>
          </w:p>
        </w:tc>
        <w:tc>
          <w:tcPr>
            <w:tcW w:w="488" w:type="dxa"/>
          </w:tcPr>
          <w:p w:rsidR="00BF4029" w:rsidRDefault="00A24DEF">
            <w:pPr>
              <w:pStyle w:val="TableParagraph"/>
              <w:spacing w:before="3"/>
              <w:ind w:left="0"/>
              <w:jc w:val="right"/>
              <w:rPr>
                <w:sz w:val="18"/>
              </w:rPr>
            </w:pPr>
            <w:r>
              <w:rPr>
                <w:sz w:val="18"/>
              </w:rPr>
              <w:t>0.51</w:t>
            </w:r>
          </w:p>
        </w:tc>
        <w:tc>
          <w:tcPr>
            <w:tcW w:w="485" w:type="dxa"/>
          </w:tcPr>
          <w:p w:rsidR="00BF4029" w:rsidRDefault="00A24DEF">
            <w:pPr>
              <w:pStyle w:val="TableParagraph"/>
              <w:spacing w:before="3"/>
              <w:ind w:left="109"/>
              <w:jc w:val="center"/>
              <w:rPr>
                <w:sz w:val="18"/>
              </w:rPr>
            </w:pPr>
            <w:r>
              <w:rPr>
                <w:sz w:val="18"/>
              </w:rPr>
              <w:t>0.41</w:t>
            </w:r>
          </w:p>
        </w:tc>
        <w:tc>
          <w:tcPr>
            <w:tcW w:w="487" w:type="dxa"/>
          </w:tcPr>
          <w:p w:rsidR="00BF4029" w:rsidRDefault="00A24DEF">
            <w:pPr>
              <w:pStyle w:val="TableParagraph"/>
              <w:spacing w:before="3"/>
              <w:ind w:left="112"/>
              <w:jc w:val="center"/>
              <w:rPr>
                <w:sz w:val="18"/>
              </w:rPr>
            </w:pPr>
            <w:r>
              <w:rPr>
                <w:sz w:val="18"/>
              </w:rPr>
              <w:t>0.52</w:t>
            </w:r>
          </w:p>
        </w:tc>
      </w:tr>
    </w:tbl>
    <w:p w:rsidR="00BF4029" w:rsidRDefault="00A24DEF">
      <w:pPr>
        <w:spacing w:before="114"/>
        <w:ind w:left="784"/>
        <w:rPr>
          <w:sz w:val="18"/>
        </w:rPr>
      </w:pPr>
      <w:r>
        <w:rPr>
          <w:sz w:val="18"/>
        </w:rPr>
        <w:t>Note: All correlations are significant at 0.01 level</w:t>
      </w:r>
    </w:p>
    <w:p w:rsidR="00BF4029" w:rsidRDefault="00BF4029">
      <w:pPr>
        <w:pStyle w:val="BodyText"/>
        <w:rPr>
          <w:sz w:val="20"/>
        </w:rPr>
      </w:pPr>
    </w:p>
    <w:p w:rsidR="00BF4029" w:rsidRDefault="00A24DEF">
      <w:pPr>
        <w:spacing w:before="158"/>
        <w:ind w:left="825"/>
        <w:rPr>
          <w:sz w:val="18"/>
        </w:rPr>
      </w:pPr>
      <w:r>
        <w:rPr>
          <w:noProof/>
        </w:rPr>
        <w:drawing>
          <wp:anchor distT="0" distB="0" distL="0" distR="0" simplePos="0" relativeHeight="486999552" behindDoc="1" locked="0" layoutInCell="1" allowOverlap="1">
            <wp:simplePos x="0" y="0"/>
            <wp:positionH relativeFrom="page">
              <wp:posOffset>3594480</wp:posOffset>
            </wp:positionH>
            <wp:positionV relativeFrom="paragraph">
              <wp:posOffset>394993</wp:posOffset>
            </wp:positionV>
            <wp:extent cx="179832" cy="128015"/>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179832" cy="128015"/>
                    </a:xfrm>
                    <a:prstGeom prst="rect">
                      <a:avLst/>
                    </a:prstGeom>
                  </pic:spPr>
                </pic:pic>
              </a:graphicData>
            </a:graphic>
          </wp:anchor>
        </w:drawing>
      </w:r>
      <w:r>
        <w:rPr>
          <w:b/>
          <w:sz w:val="18"/>
        </w:rPr>
        <w:t xml:space="preserve">Table 3. </w:t>
      </w:r>
      <w:r>
        <w:rPr>
          <w:sz w:val="18"/>
        </w:rPr>
        <w:t>Comparison of measurement models</w:t>
      </w:r>
    </w:p>
    <w:p w:rsidR="00BF4029" w:rsidRDefault="00BF4029">
      <w:pPr>
        <w:pStyle w:val="BodyText"/>
        <w:spacing w:before="4"/>
        <w:rPr>
          <w:sz w:val="21"/>
        </w:rPr>
      </w:pPr>
    </w:p>
    <w:tbl>
      <w:tblPr>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7"/>
        <w:gridCol w:w="1750"/>
        <w:gridCol w:w="799"/>
        <w:gridCol w:w="437"/>
        <w:gridCol w:w="564"/>
        <w:gridCol w:w="1020"/>
        <w:gridCol w:w="482"/>
        <w:gridCol w:w="487"/>
        <w:gridCol w:w="800"/>
        <w:gridCol w:w="675"/>
      </w:tblGrid>
      <w:tr w:rsidR="00BF4029">
        <w:trPr>
          <w:trHeight w:val="230"/>
        </w:trPr>
        <w:tc>
          <w:tcPr>
            <w:tcW w:w="727" w:type="dxa"/>
          </w:tcPr>
          <w:p w:rsidR="00BF4029" w:rsidRDefault="00A24DEF">
            <w:pPr>
              <w:pStyle w:val="TableParagraph"/>
              <w:spacing w:before="1"/>
              <w:ind w:left="107"/>
              <w:rPr>
                <w:b/>
                <w:sz w:val="18"/>
              </w:rPr>
            </w:pPr>
            <w:r>
              <w:rPr>
                <w:b/>
                <w:w w:val="105"/>
                <w:sz w:val="18"/>
              </w:rPr>
              <w:t>Model</w:t>
            </w:r>
          </w:p>
        </w:tc>
        <w:tc>
          <w:tcPr>
            <w:tcW w:w="1750" w:type="dxa"/>
          </w:tcPr>
          <w:p w:rsidR="00BF4029" w:rsidRDefault="00A24DEF">
            <w:pPr>
              <w:pStyle w:val="TableParagraph"/>
              <w:spacing w:before="1"/>
              <w:ind w:left="115"/>
              <w:rPr>
                <w:b/>
                <w:sz w:val="18"/>
              </w:rPr>
            </w:pPr>
            <w:r>
              <w:rPr>
                <w:b/>
                <w:w w:val="105"/>
                <w:sz w:val="18"/>
              </w:rPr>
              <w:t>Factors</w:t>
            </w:r>
          </w:p>
        </w:tc>
        <w:tc>
          <w:tcPr>
            <w:tcW w:w="799" w:type="dxa"/>
          </w:tcPr>
          <w:p w:rsidR="00BF4029" w:rsidRDefault="00A24DEF">
            <w:pPr>
              <w:pStyle w:val="TableParagraph"/>
              <w:spacing w:before="1"/>
              <w:ind w:left="110"/>
              <w:rPr>
                <w:b/>
                <w:sz w:val="18"/>
              </w:rPr>
            </w:pPr>
            <w:r>
              <w:rPr>
                <w:b/>
                <w:w w:val="105"/>
                <w:sz w:val="18"/>
              </w:rPr>
              <w:t>χ2</w:t>
            </w:r>
          </w:p>
        </w:tc>
        <w:tc>
          <w:tcPr>
            <w:tcW w:w="437" w:type="dxa"/>
          </w:tcPr>
          <w:p w:rsidR="00BF4029" w:rsidRDefault="00A24DEF">
            <w:pPr>
              <w:pStyle w:val="TableParagraph"/>
              <w:spacing w:before="1"/>
              <w:ind w:left="115"/>
              <w:rPr>
                <w:b/>
                <w:sz w:val="18"/>
              </w:rPr>
            </w:pPr>
            <w:r>
              <w:rPr>
                <w:b/>
                <w:w w:val="105"/>
                <w:sz w:val="18"/>
              </w:rPr>
              <w:t>df</w:t>
            </w:r>
          </w:p>
        </w:tc>
        <w:tc>
          <w:tcPr>
            <w:tcW w:w="564" w:type="dxa"/>
          </w:tcPr>
          <w:p w:rsidR="00BF4029" w:rsidRDefault="00A24DEF">
            <w:pPr>
              <w:pStyle w:val="TableParagraph"/>
              <w:spacing w:before="1"/>
              <w:ind w:left="112"/>
              <w:rPr>
                <w:b/>
                <w:sz w:val="18"/>
              </w:rPr>
            </w:pPr>
            <w:r>
              <w:rPr>
                <w:b/>
                <w:sz w:val="18"/>
              </w:rPr>
              <w:t>χ2/df</w:t>
            </w:r>
          </w:p>
        </w:tc>
        <w:tc>
          <w:tcPr>
            <w:tcW w:w="1020" w:type="dxa"/>
          </w:tcPr>
          <w:p w:rsidR="00BF4029" w:rsidRDefault="00A24DEF">
            <w:pPr>
              <w:pStyle w:val="TableParagraph"/>
              <w:spacing w:before="1"/>
              <w:ind w:left="302"/>
              <w:rPr>
                <w:b/>
                <w:sz w:val="18"/>
              </w:rPr>
            </w:pPr>
            <w:r>
              <w:rPr>
                <w:b/>
                <w:w w:val="105"/>
                <w:sz w:val="18"/>
              </w:rPr>
              <w:t>χ2</w:t>
            </w:r>
          </w:p>
        </w:tc>
        <w:tc>
          <w:tcPr>
            <w:tcW w:w="482" w:type="dxa"/>
          </w:tcPr>
          <w:p w:rsidR="00BF4029" w:rsidRDefault="00A24DEF">
            <w:pPr>
              <w:pStyle w:val="TableParagraph"/>
              <w:spacing w:before="1"/>
              <w:ind w:left="108"/>
              <w:rPr>
                <w:b/>
                <w:sz w:val="18"/>
              </w:rPr>
            </w:pPr>
            <w:r>
              <w:rPr>
                <w:b/>
                <w:w w:val="105"/>
                <w:sz w:val="18"/>
              </w:rPr>
              <w:t>CFI</w:t>
            </w:r>
          </w:p>
        </w:tc>
        <w:tc>
          <w:tcPr>
            <w:tcW w:w="487" w:type="dxa"/>
          </w:tcPr>
          <w:p w:rsidR="00BF4029" w:rsidRDefault="00A24DEF">
            <w:pPr>
              <w:pStyle w:val="TableParagraph"/>
              <w:spacing w:before="1"/>
              <w:ind w:left="116"/>
              <w:rPr>
                <w:b/>
                <w:sz w:val="18"/>
              </w:rPr>
            </w:pPr>
            <w:r>
              <w:rPr>
                <w:b/>
                <w:w w:val="105"/>
                <w:sz w:val="18"/>
              </w:rPr>
              <w:t>IFI</w:t>
            </w:r>
          </w:p>
        </w:tc>
        <w:tc>
          <w:tcPr>
            <w:tcW w:w="800" w:type="dxa"/>
          </w:tcPr>
          <w:p w:rsidR="00BF4029" w:rsidRDefault="00A24DEF">
            <w:pPr>
              <w:pStyle w:val="TableParagraph"/>
              <w:spacing w:before="1"/>
              <w:ind w:left="111"/>
              <w:rPr>
                <w:b/>
                <w:sz w:val="18"/>
              </w:rPr>
            </w:pPr>
            <w:r>
              <w:rPr>
                <w:b/>
                <w:sz w:val="18"/>
              </w:rPr>
              <w:t>RMSEA</w:t>
            </w:r>
          </w:p>
        </w:tc>
        <w:tc>
          <w:tcPr>
            <w:tcW w:w="675" w:type="dxa"/>
          </w:tcPr>
          <w:p w:rsidR="00BF4029" w:rsidRDefault="00A24DEF">
            <w:pPr>
              <w:pStyle w:val="TableParagraph"/>
              <w:spacing w:before="1"/>
              <w:ind w:left="111"/>
              <w:rPr>
                <w:b/>
                <w:sz w:val="18"/>
              </w:rPr>
            </w:pPr>
            <w:r>
              <w:rPr>
                <w:b/>
                <w:sz w:val="18"/>
              </w:rPr>
              <w:t>SRMR</w:t>
            </w:r>
          </w:p>
        </w:tc>
      </w:tr>
      <w:tr w:rsidR="00BF4029">
        <w:trPr>
          <w:trHeight w:val="415"/>
        </w:trPr>
        <w:tc>
          <w:tcPr>
            <w:tcW w:w="727" w:type="dxa"/>
          </w:tcPr>
          <w:p w:rsidR="00BF4029" w:rsidRDefault="00A24DEF">
            <w:pPr>
              <w:pStyle w:val="TableParagraph"/>
              <w:spacing w:before="1" w:line="206" w:lineRule="exact"/>
              <w:ind w:left="0" w:right="187"/>
              <w:jc w:val="right"/>
              <w:rPr>
                <w:sz w:val="18"/>
              </w:rPr>
            </w:pPr>
            <w:r>
              <w:rPr>
                <w:sz w:val="18"/>
              </w:rPr>
              <w:t>Model</w:t>
            </w:r>
          </w:p>
          <w:p w:rsidR="00BF4029" w:rsidRDefault="00A24DEF">
            <w:pPr>
              <w:pStyle w:val="TableParagraph"/>
              <w:spacing w:line="188" w:lineRule="exact"/>
              <w:ind w:left="0" w:right="189"/>
              <w:jc w:val="right"/>
              <w:rPr>
                <w:sz w:val="18"/>
              </w:rPr>
            </w:pPr>
            <w:r>
              <w:rPr>
                <w:w w:val="103"/>
                <w:sz w:val="18"/>
              </w:rPr>
              <w:t>1</w:t>
            </w:r>
          </w:p>
        </w:tc>
        <w:tc>
          <w:tcPr>
            <w:tcW w:w="1750" w:type="dxa"/>
          </w:tcPr>
          <w:p w:rsidR="00BF4029" w:rsidRDefault="00A24DEF">
            <w:pPr>
              <w:pStyle w:val="TableParagraph"/>
              <w:spacing w:before="1"/>
              <w:ind w:left="115"/>
              <w:rPr>
                <w:sz w:val="18"/>
              </w:rPr>
            </w:pPr>
            <w:r>
              <w:rPr>
                <w:w w:val="105"/>
                <w:sz w:val="18"/>
              </w:rPr>
              <w:t>Five-factor model</w:t>
            </w:r>
          </w:p>
        </w:tc>
        <w:tc>
          <w:tcPr>
            <w:tcW w:w="799" w:type="dxa"/>
          </w:tcPr>
          <w:p w:rsidR="00BF4029" w:rsidRDefault="00A24DEF">
            <w:pPr>
              <w:pStyle w:val="TableParagraph"/>
              <w:spacing w:before="1"/>
              <w:ind w:left="110" w:right="-15"/>
              <w:rPr>
                <w:sz w:val="18"/>
              </w:rPr>
            </w:pPr>
            <w:r>
              <w:rPr>
                <w:w w:val="105"/>
                <w:sz w:val="18"/>
              </w:rPr>
              <w:t>1364.16</w:t>
            </w:r>
          </w:p>
        </w:tc>
        <w:tc>
          <w:tcPr>
            <w:tcW w:w="437" w:type="dxa"/>
          </w:tcPr>
          <w:p w:rsidR="00BF4029" w:rsidRDefault="00A24DEF">
            <w:pPr>
              <w:pStyle w:val="TableParagraph"/>
              <w:spacing w:before="1"/>
              <w:ind w:left="115" w:right="-15"/>
              <w:rPr>
                <w:sz w:val="18"/>
              </w:rPr>
            </w:pPr>
            <w:r>
              <w:rPr>
                <w:w w:val="105"/>
                <w:sz w:val="18"/>
              </w:rPr>
              <w:t>624</w:t>
            </w:r>
          </w:p>
        </w:tc>
        <w:tc>
          <w:tcPr>
            <w:tcW w:w="564" w:type="dxa"/>
          </w:tcPr>
          <w:p w:rsidR="00BF4029" w:rsidRDefault="00A24DEF">
            <w:pPr>
              <w:pStyle w:val="TableParagraph"/>
              <w:spacing w:before="1"/>
              <w:ind w:left="112"/>
              <w:rPr>
                <w:sz w:val="18"/>
              </w:rPr>
            </w:pPr>
            <w:r>
              <w:rPr>
                <w:w w:val="105"/>
                <w:sz w:val="18"/>
              </w:rPr>
              <w:t>2.18</w:t>
            </w:r>
          </w:p>
        </w:tc>
        <w:tc>
          <w:tcPr>
            <w:tcW w:w="1020" w:type="dxa"/>
          </w:tcPr>
          <w:p w:rsidR="00BF4029" w:rsidRDefault="00BF4029">
            <w:pPr>
              <w:pStyle w:val="TableParagraph"/>
              <w:ind w:left="0"/>
              <w:rPr>
                <w:rFonts w:ascii="Times New Roman"/>
                <w:sz w:val="18"/>
              </w:rPr>
            </w:pPr>
          </w:p>
        </w:tc>
        <w:tc>
          <w:tcPr>
            <w:tcW w:w="482" w:type="dxa"/>
          </w:tcPr>
          <w:p w:rsidR="00BF4029" w:rsidRDefault="00A24DEF">
            <w:pPr>
              <w:pStyle w:val="TableParagraph"/>
              <w:spacing w:before="1"/>
              <w:ind w:left="108" w:right="-15"/>
              <w:rPr>
                <w:sz w:val="18"/>
              </w:rPr>
            </w:pPr>
            <w:r>
              <w:rPr>
                <w:w w:val="105"/>
                <w:sz w:val="18"/>
              </w:rPr>
              <w:t>0.90</w:t>
            </w:r>
          </w:p>
        </w:tc>
        <w:tc>
          <w:tcPr>
            <w:tcW w:w="487" w:type="dxa"/>
          </w:tcPr>
          <w:p w:rsidR="00BF4029" w:rsidRDefault="00A24DEF">
            <w:pPr>
              <w:pStyle w:val="TableParagraph"/>
              <w:spacing w:before="1"/>
              <w:ind w:left="116" w:right="-15"/>
              <w:rPr>
                <w:sz w:val="18"/>
              </w:rPr>
            </w:pPr>
            <w:r>
              <w:rPr>
                <w:w w:val="105"/>
                <w:sz w:val="18"/>
              </w:rPr>
              <w:t>0.91</w:t>
            </w:r>
          </w:p>
        </w:tc>
        <w:tc>
          <w:tcPr>
            <w:tcW w:w="800" w:type="dxa"/>
          </w:tcPr>
          <w:p w:rsidR="00BF4029" w:rsidRDefault="00A24DEF">
            <w:pPr>
              <w:pStyle w:val="TableParagraph"/>
              <w:spacing w:before="1"/>
              <w:ind w:left="111"/>
              <w:rPr>
                <w:sz w:val="18"/>
              </w:rPr>
            </w:pPr>
            <w:r>
              <w:rPr>
                <w:w w:val="105"/>
                <w:sz w:val="18"/>
              </w:rPr>
              <w:t>0.06</w:t>
            </w:r>
          </w:p>
        </w:tc>
        <w:tc>
          <w:tcPr>
            <w:tcW w:w="675" w:type="dxa"/>
          </w:tcPr>
          <w:p w:rsidR="00BF4029" w:rsidRDefault="00A24DEF">
            <w:pPr>
              <w:pStyle w:val="TableParagraph"/>
              <w:spacing w:before="1"/>
              <w:ind w:left="111"/>
              <w:rPr>
                <w:sz w:val="18"/>
              </w:rPr>
            </w:pPr>
            <w:r>
              <w:rPr>
                <w:w w:val="105"/>
                <w:sz w:val="18"/>
              </w:rPr>
              <w:t>0.07</w:t>
            </w:r>
          </w:p>
        </w:tc>
      </w:tr>
      <w:tr w:rsidR="00BF4029">
        <w:trPr>
          <w:trHeight w:val="1048"/>
        </w:trPr>
        <w:tc>
          <w:tcPr>
            <w:tcW w:w="727" w:type="dxa"/>
          </w:tcPr>
          <w:p w:rsidR="00BF4029" w:rsidRDefault="00A24DEF">
            <w:pPr>
              <w:pStyle w:val="TableParagraph"/>
              <w:spacing w:before="6" w:line="207" w:lineRule="exact"/>
              <w:ind w:left="0" w:right="187"/>
              <w:jc w:val="right"/>
              <w:rPr>
                <w:sz w:val="18"/>
              </w:rPr>
            </w:pPr>
            <w:r>
              <w:rPr>
                <w:sz w:val="18"/>
              </w:rPr>
              <w:t>Model</w:t>
            </w:r>
          </w:p>
          <w:p w:rsidR="00BF4029" w:rsidRDefault="00A24DEF">
            <w:pPr>
              <w:pStyle w:val="TableParagraph"/>
              <w:spacing w:line="207" w:lineRule="exact"/>
              <w:ind w:left="0" w:right="189"/>
              <w:jc w:val="right"/>
              <w:rPr>
                <w:sz w:val="18"/>
              </w:rPr>
            </w:pPr>
            <w:r>
              <w:rPr>
                <w:w w:val="103"/>
                <w:sz w:val="18"/>
              </w:rPr>
              <w:t>2</w:t>
            </w:r>
          </w:p>
        </w:tc>
        <w:tc>
          <w:tcPr>
            <w:tcW w:w="1750" w:type="dxa"/>
          </w:tcPr>
          <w:p w:rsidR="00BF4029" w:rsidRDefault="00A24DEF">
            <w:pPr>
              <w:pStyle w:val="TableParagraph"/>
              <w:spacing w:before="6"/>
              <w:ind w:left="115" w:right="-13"/>
              <w:rPr>
                <w:sz w:val="18"/>
              </w:rPr>
            </w:pPr>
            <w:r>
              <w:rPr>
                <w:w w:val="105"/>
                <w:sz w:val="18"/>
              </w:rPr>
              <w:t>Four-factor model: service climate and BCB were</w:t>
            </w:r>
          </w:p>
          <w:p w:rsidR="00BF4029" w:rsidRDefault="00A24DEF">
            <w:pPr>
              <w:pStyle w:val="TableParagraph"/>
              <w:spacing w:before="11" w:line="204" w:lineRule="exact"/>
              <w:ind w:left="115"/>
              <w:rPr>
                <w:sz w:val="18"/>
              </w:rPr>
            </w:pPr>
            <w:r>
              <w:rPr>
                <w:w w:val="105"/>
                <w:sz w:val="18"/>
              </w:rPr>
              <w:t>combined into a single factor</w:t>
            </w:r>
          </w:p>
        </w:tc>
        <w:tc>
          <w:tcPr>
            <w:tcW w:w="799" w:type="dxa"/>
          </w:tcPr>
          <w:p w:rsidR="00BF4029" w:rsidRDefault="00A24DEF">
            <w:pPr>
              <w:pStyle w:val="TableParagraph"/>
              <w:spacing w:before="6"/>
              <w:ind w:left="110" w:right="-15"/>
              <w:rPr>
                <w:sz w:val="18"/>
              </w:rPr>
            </w:pPr>
            <w:r>
              <w:rPr>
                <w:w w:val="105"/>
                <w:sz w:val="18"/>
              </w:rPr>
              <w:t>1568.10</w:t>
            </w:r>
          </w:p>
        </w:tc>
        <w:tc>
          <w:tcPr>
            <w:tcW w:w="437" w:type="dxa"/>
          </w:tcPr>
          <w:p w:rsidR="00BF4029" w:rsidRDefault="00A24DEF">
            <w:pPr>
              <w:pStyle w:val="TableParagraph"/>
              <w:spacing w:before="6"/>
              <w:ind w:left="115" w:right="-15"/>
              <w:rPr>
                <w:sz w:val="18"/>
              </w:rPr>
            </w:pPr>
            <w:r>
              <w:rPr>
                <w:w w:val="105"/>
                <w:sz w:val="18"/>
              </w:rPr>
              <w:t>628</w:t>
            </w:r>
          </w:p>
        </w:tc>
        <w:tc>
          <w:tcPr>
            <w:tcW w:w="564" w:type="dxa"/>
          </w:tcPr>
          <w:p w:rsidR="00BF4029" w:rsidRDefault="00A24DEF">
            <w:pPr>
              <w:pStyle w:val="TableParagraph"/>
              <w:spacing w:before="6"/>
              <w:ind w:left="112"/>
              <w:rPr>
                <w:sz w:val="18"/>
              </w:rPr>
            </w:pPr>
            <w:r>
              <w:rPr>
                <w:w w:val="105"/>
                <w:sz w:val="18"/>
              </w:rPr>
              <w:t>2.50</w:t>
            </w:r>
          </w:p>
        </w:tc>
        <w:tc>
          <w:tcPr>
            <w:tcW w:w="1020" w:type="dxa"/>
          </w:tcPr>
          <w:p w:rsidR="00BF4029" w:rsidRDefault="00A24DEF">
            <w:pPr>
              <w:pStyle w:val="TableParagraph"/>
              <w:spacing w:before="6"/>
              <w:ind w:left="110"/>
              <w:rPr>
                <w:sz w:val="18"/>
              </w:rPr>
            </w:pPr>
            <w:r>
              <w:rPr>
                <w:w w:val="105"/>
                <w:sz w:val="18"/>
              </w:rPr>
              <w:t>203.94***</w:t>
            </w:r>
          </w:p>
        </w:tc>
        <w:tc>
          <w:tcPr>
            <w:tcW w:w="482" w:type="dxa"/>
          </w:tcPr>
          <w:p w:rsidR="00BF4029" w:rsidRDefault="00A24DEF">
            <w:pPr>
              <w:pStyle w:val="TableParagraph"/>
              <w:spacing w:before="6"/>
              <w:ind w:left="108" w:right="-15"/>
              <w:rPr>
                <w:sz w:val="18"/>
              </w:rPr>
            </w:pPr>
            <w:r>
              <w:rPr>
                <w:w w:val="105"/>
                <w:sz w:val="18"/>
              </w:rPr>
              <w:t>0.86</w:t>
            </w:r>
          </w:p>
        </w:tc>
        <w:tc>
          <w:tcPr>
            <w:tcW w:w="487" w:type="dxa"/>
          </w:tcPr>
          <w:p w:rsidR="00BF4029" w:rsidRDefault="00A24DEF">
            <w:pPr>
              <w:pStyle w:val="TableParagraph"/>
              <w:spacing w:before="6"/>
              <w:ind w:left="116" w:right="-15"/>
              <w:rPr>
                <w:sz w:val="18"/>
              </w:rPr>
            </w:pPr>
            <w:r>
              <w:rPr>
                <w:w w:val="105"/>
                <w:sz w:val="18"/>
              </w:rPr>
              <w:t>0.87</w:t>
            </w:r>
          </w:p>
        </w:tc>
        <w:tc>
          <w:tcPr>
            <w:tcW w:w="800" w:type="dxa"/>
          </w:tcPr>
          <w:p w:rsidR="00BF4029" w:rsidRDefault="00A24DEF">
            <w:pPr>
              <w:pStyle w:val="TableParagraph"/>
              <w:spacing w:before="6"/>
              <w:ind w:left="111"/>
              <w:rPr>
                <w:sz w:val="18"/>
              </w:rPr>
            </w:pPr>
            <w:r>
              <w:rPr>
                <w:w w:val="105"/>
                <w:sz w:val="18"/>
              </w:rPr>
              <w:t>0.07</w:t>
            </w:r>
          </w:p>
        </w:tc>
        <w:tc>
          <w:tcPr>
            <w:tcW w:w="675" w:type="dxa"/>
          </w:tcPr>
          <w:p w:rsidR="00BF4029" w:rsidRDefault="00A24DEF">
            <w:pPr>
              <w:pStyle w:val="TableParagraph"/>
              <w:spacing w:before="6"/>
              <w:ind w:left="111"/>
              <w:rPr>
                <w:sz w:val="18"/>
              </w:rPr>
            </w:pPr>
            <w:r>
              <w:rPr>
                <w:w w:val="105"/>
                <w:sz w:val="18"/>
              </w:rPr>
              <w:t>0.10</w:t>
            </w:r>
          </w:p>
        </w:tc>
      </w:tr>
      <w:tr w:rsidR="00BF4029">
        <w:trPr>
          <w:trHeight w:val="1732"/>
        </w:trPr>
        <w:tc>
          <w:tcPr>
            <w:tcW w:w="727" w:type="dxa"/>
          </w:tcPr>
          <w:p w:rsidR="00BF4029" w:rsidRDefault="00A24DEF">
            <w:pPr>
              <w:pStyle w:val="TableParagraph"/>
              <w:spacing w:before="3" w:line="207" w:lineRule="exact"/>
              <w:ind w:left="0" w:right="187"/>
              <w:jc w:val="right"/>
              <w:rPr>
                <w:sz w:val="18"/>
              </w:rPr>
            </w:pPr>
            <w:r>
              <w:rPr>
                <w:sz w:val="18"/>
              </w:rPr>
              <w:t>Model</w:t>
            </w:r>
          </w:p>
          <w:p w:rsidR="00BF4029" w:rsidRDefault="00A24DEF">
            <w:pPr>
              <w:pStyle w:val="TableParagraph"/>
              <w:spacing w:line="207" w:lineRule="exact"/>
              <w:ind w:left="0" w:right="189"/>
              <w:jc w:val="right"/>
              <w:rPr>
                <w:sz w:val="18"/>
              </w:rPr>
            </w:pPr>
            <w:r>
              <w:rPr>
                <w:w w:val="103"/>
                <w:sz w:val="18"/>
              </w:rPr>
              <w:t>3</w:t>
            </w:r>
          </w:p>
        </w:tc>
        <w:tc>
          <w:tcPr>
            <w:tcW w:w="1750" w:type="dxa"/>
          </w:tcPr>
          <w:p w:rsidR="00BF4029" w:rsidRDefault="00A24DEF">
            <w:pPr>
              <w:pStyle w:val="TableParagraph"/>
              <w:spacing w:before="6" w:line="252" w:lineRule="auto"/>
              <w:ind w:left="115" w:right="80"/>
              <w:rPr>
                <w:sz w:val="18"/>
              </w:rPr>
            </w:pPr>
            <w:r>
              <w:rPr>
                <w:w w:val="105"/>
                <w:sz w:val="18"/>
              </w:rPr>
              <w:t>Three-factor model: leadership commitment to SQ, service climate and BCB were combined into a single</w:t>
            </w:r>
          </w:p>
          <w:p w:rsidR="00BF4029" w:rsidRDefault="00A24DEF">
            <w:pPr>
              <w:pStyle w:val="TableParagraph"/>
              <w:spacing w:line="186" w:lineRule="exact"/>
              <w:ind w:left="115"/>
              <w:rPr>
                <w:sz w:val="18"/>
              </w:rPr>
            </w:pPr>
            <w:r>
              <w:rPr>
                <w:w w:val="105"/>
                <w:sz w:val="18"/>
              </w:rPr>
              <w:t>factor</w:t>
            </w:r>
          </w:p>
        </w:tc>
        <w:tc>
          <w:tcPr>
            <w:tcW w:w="799" w:type="dxa"/>
          </w:tcPr>
          <w:p w:rsidR="00BF4029" w:rsidRDefault="00A24DEF">
            <w:pPr>
              <w:pStyle w:val="TableParagraph"/>
              <w:spacing w:before="3"/>
              <w:ind w:left="110" w:right="-15"/>
              <w:rPr>
                <w:sz w:val="18"/>
              </w:rPr>
            </w:pPr>
            <w:r>
              <w:rPr>
                <w:w w:val="105"/>
                <w:sz w:val="18"/>
              </w:rPr>
              <w:t>1801.47</w:t>
            </w:r>
          </w:p>
        </w:tc>
        <w:tc>
          <w:tcPr>
            <w:tcW w:w="437" w:type="dxa"/>
          </w:tcPr>
          <w:p w:rsidR="00BF4029" w:rsidRDefault="00A24DEF">
            <w:pPr>
              <w:pStyle w:val="TableParagraph"/>
              <w:spacing w:before="3"/>
              <w:ind w:left="115" w:right="-15"/>
              <w:rPr>
                <w:sz w:val="18"/>
              </w:rPr>
            </w:pPr>
            <w:r>
              <w:rPr>
                <w:w w:val="105"/>
                <w:sz w:val="18"/>
              </w:rPr>
              <w:t>631</w:t>
            </w:r>
          </w:p>
        </w:tc>
        <w:tc>
          <w:tcPr>
            <w:tcW w:w="564" w:type="dxa"/>
          </w:tcPr>
          <w:p w:rsidR="00BF4029" w:rsidRDefault="00A24DEF">
            <w:pPr>
              <w:pStyle w:val="TableParagraph"/>
              <w:spacing w:before="3"/>
              <w:ind w:left="112"/>
              <w:rPr>
                <w:sz w:val="18"/>
              </w:rPr>
            </w:pPr>
            <w:r>
              <w:rPr>
                <w:w w:val="105"/>
                <w:sz w:val="18"/>
              </w:rPr>
              <w:t>2.90</w:t>
            </w:r>
          </w:p>
        </w:tc>
        <w:tc>
          <w:tcPr>
            <w:tcW w:w="1020" w:type="dxa"/>
          </w:tcPr>
          <w:p w:rsidR="00BF4029" w:rsidRDefault="00A24DEF">
            <w:pPr>
              <w:pStyle w:val="TableParagraph"/>
              <w:spacing w:before="3"/>
              <w:ind w:left="110"/>
              <w:rPr>
                <w:sz w:val="18"/>
              </w:rPr>
            </w:pPr>
            <w:r>
              <w:rPr>
                <w:w w:val="105"/>
                <w:sz w:val="18"/>
              </w:rPr>
              <w:t>437.31***</w:t>
            </w:r>
          </w:p>
        </w:tc>
        <w:tc>
          <w:tcPr>
            <w:tcW w:w="482" w:type="dxa"/>
          </w:tcPr>
          <w:p w:rsidR="00BF4029" w:rsidRDefault="00A24DEF">
            <w:pPr>
              <w:pStyle w:val="TableParagraph"/>
              <w:spacing w:before="3"/>
              <w:ind w:left="108" w:right="-15"/>
              <w:rPr>
                <w:sz w:val="18"/>
              </w:rPr>
            </w:pPr>
            <w:r>
              <w:rPr>
                <w:w w:val="105"/>
                <w:sz w:val="18"/>
              </w:rPr>
              <w:t>0.82</w:t>
            </w:r>
          </w:p>
        </w:tc>
        <w:tc>
          <w:tcPr>
            <w:tcW w:w="487" w:type="dxa"/>
          </w:tcPr>
          <w:p w:rsidR="00BF4029" w:rsidRDefault="00A24DEF">
            <w:pPr>
              <w:pStyle w:val="TableParagraph"/>
              <w:spacing w:before="3"/>
              <w:ind w:left="116" w:right="-15"/>
              <w:rPr>
                <w:sz w:val="18"/>
              </w:rPr>
            </w:pPr>
            <w:r>
              <w:rPr>
                <w:w w:val="105"/>
                <w:sz w:val="18"/>
              </w:rPr>
              <w:t>0.83</w:t>
            </w:r>
          </w:p>
        </w:tc>
        <w:tc>
          <w:tcPr>
            <w:tcW w:w="800" w:type="dxa"/>
          </w:tcPr>
          <w:p w:rsidR="00BF4029" w:rsidRDefault="00A24DEF">
            <w:pPr>
              <w:pStyle w:val="TableParagraph"/>
              <w:spacing w:before="3"/>
              <w:ind w:left="111"/>
              <w:rPr>
                <w:sz w:val="18"/>
              </w:rPr>
            </w:pPr>
            <w:r>
              <w:rPr>
                <w:w w:val="105"/>
                <w:sz w:val="18"/>
              </w:rPr>
              <w:t>0.08</w:t>
            </w:r>
          </w:p>
        </w:tc>
        <w:tc>
          <w:tcPr>
            <w:tcW w:w="675" w:type="dxa"/>
          </w:tcPr>
          <w:p w:rsidR="00BF4029" w:rsidRDefault="00A24DEF">
            <w:pPr>
              <w:pStyle w:val="TableParagraph"/>
              <w:spacing w:before="3"/>
              <w:ind w:left="111"/>
              <w:rPr>
                <w:sz w:val="18"/>
              </w:rPr>
            </w:pPr>
            <w:r>
              <w:rPr>
                <w:w w:val="105"/>
                <w:sz w:val="18"/>
              </w:rPr>
              <w:t>0.10</w:t>
            </w:r>
          </w:p>
        </w:tc>
      </w:tr>
      <w:tr w:rsidR="00BF4029">
        <w:trPr>
          <w:trHeight w:val="1984"/>
        </w:trPr>
        <w:tc>
          <w:tcPr>
            <w:tcW w:w="727" w:type="dxa"/>
          </w:tcPr>
          <w:p w:rsidR="00BF4029" w:rsidRDefault="00A24DEF">
            <w:pPr>
              <w:pStyle w:val="TableParagraph"/>
              <w:spacing w:before="3"/>
              <w:ind w:left="0" w:right="187"/>
              <w:jc w:val="right"/>
              <w:rPr>
                <w:sz w:val="18"/>
              </w:rPr>
            </w:pPr>
            <w:r>
              <w:rPr>
                <w:sz w:val="18"/>
              </w:rPr>
              <w:t>Model</w:t>
            </w:r>
          </w:p>
          <w:p w:rsidR="00BF4029" w:rsidRDefault="00A24DEF">
            <w:pPr>
              <w:pStyle w:val="TableParagraph"/>
              <w:spacing w:before="2"/>
              <w:ind w:left="0" w:right="189"/>
              <w:jc w:val="right"/>
              <w:rPr>
                <w:sz w:val="18"/>
              </w:rPr>
            </w:pPr>
            <w:r>
              <w:rPr>
                <w:w w:val="103"/>
                <w:sz w:val="18"/>
              </w:rPr>
              <w:t>4</w:t>
            </w:r>
          </w:p>
        </w:tc>
        <w:tc>
          <w:tcPr>
            <w:tcW w:w="1750" w:type="dxa"/>
          </w:tcPr>
          <w:p w:rsidR="00BF4029" w:rsidRDefault="00A24DEF">
            <w:pPr>
              <w:pStyle w:val="TableParagraph"/>
              <w:spacing w:before="3"/>
              <w:ind w:left="115" w:right="72"/>
              <w:rPr>
                <w:sz w:val="18"/>
              </w:rPr>
            </w:pPr>
            <w:r>
              <w:rPr>
                <w:w w:val="105"/>
                <w:sz w:val="18"/>
              </w:rPr>
              <w:t>Two-factor model: leadership commitment, service-</w:t>
            </w:r>
          </w:p>
          <w:p w:rsidR="00BF4029" w:rsidRDefault="00A24DEF">
            <w:pPr>
              <w:pStyle w:val="TableParagraph"/>
              <w:spacing w:before="2" w:line="230" w:lineRule="atLeast"/>
              <w:ind w:left="115" w:right="58"/>
              <w:rPr>
                <w:sz w:val="18"/>
              </w:rPr>
            </w:pPr>
            <w:r>
              <w:rPr>
                <w:w w:val="105"/>
                <w:sz w:val="18"/>
              </w:rPr>
              <w:t>oriented HR practices, service climate and BCB were combined into a single factor</w:t>
            </w:r>
          </w:p>
        </w:tc>
        <w:tc>
          <w:tcPr>
            <w:tcW w:w="799" w:type="dxa"/>
          </w:tcPr>
          <w:p w:rsidR="00BF4029" w:rsidRDefault="00A24DEF">
            <w:pPr>
              <w:pStyle w:val="TableParagraph"/>
              <w:spacing w:before="3"/>
              <w:ind w:left="110" w:right="-15"/>
              <w:rPr>
                <w:sz w:val="18"/>
              </w:rPr>
            </w:pPr>
            <w:r>
              <w:rPr>
                <w:w w:val="105"/>
                <w:sz w:val="18"/>
              </w:rPr>
              <w:t>2632.32</w:t>
            </w:r>
          </w:p>
        </w:tc>
        <w:tc>
          <w:tcPr>
            <w:tcW w:w="437" w:type="dxa"/>
          </w:tcPr>
          <w:p w:rsidR="00BF4029" w:rsidRDefault="00A24DEF">
            <w:pPr>
              <w:pStyle w:val="TableParagraph"/>
              <w:spacing w:before="3"/>
              <w:ind w:left="115" w:right="-15"/>
              <w:rPr>
                <w:sz w:val="18"/>
              </w:rPr>
            </w:pPr>
            <w:r>
              <w:rPr>
                <w:w w:val="105"/>
                <w:sz w:val="18"/>
              </w:rPr>
              <w:t>637</w:t>
            </w:r>
          </w:p>
        </w:tc>
        <w:tc>
          <w:tcPr>
            <w:tcW w:w="564" w:type="dxa"/>
          </w:tcPr>
          <w:p w:rsidR="00BF4029" w:rsidRDefault="00A24DEF">
            <w:pPr>
              <w:pStyle w:val="TableParagraph"/>
              <w:spacing w:before="3"/>
              <w:ind w:left="112"/>
              <w:rPr>
                <w:sz w:val="18"/>
              </w:rPr>
            </w:pPr>
            <w:r>
              <w:rPr>
                <w:w w:val="105"/>
                <w:sz w:val="18"/>
              </w:rPr>
              <w:t>4.13</w:t>
            </w:r>
          </w:p>
        </w:tc>
        <w:tc>
          <w:tcPr>
            <w:tcW w:w="1020" w:type="dxa"/>
          </w:tcPr>
          <w:p w:rsidR="00BF4029" w:rsidRDefault="00A24DEF">
            <w:pPr>
              <w:pStyle w:val="TableParagraph"/>
              <w:spacing w:before="3"/>
              <w:ind w:left="110" w:right="-15"/>
              <w:rPr>
                <w:sz w:val="18"/>
              </w:rPr>
            </w:pPr>
            <w:r>
              <w:rPr>
                <w:w w:val="105"/>
                <w:sz w:val="18"/>
              </w:rPr>
              <w:t>1268.16***</w:t>
            </w:r>
          </w:p>
        </w:tc>
        <w:tc>
          <w:tcPr>
            <w:tcW w:w="482" w:type="dxa"/>
          </w:tcPr>
          <w:p w:rsidR="00BF4029" w:rsidRDefault="00A24DEF">
            <w:pPr>
              <w:pStyle w:val="TableParagraph"/>
              <w:spacing w:before="3"/>
              <w:ind w:left="108" w:right="-15"/>
              <w:rPr>
                <w:sz w:val="18"/>
              </w:rPr>
            </w:pPr>
            <w:r>
              <w:rPr>
                <w:w w:val="105"/>
                <w:sz w:val="18"/>
              </w:rPr>
              <w:t>0.71</w:t>
            </w:r>
          </w:p>
        </w:tc>
        <w:tc>
          <w:tcPr>
            <w:tcW w:w="487" w:type="dxa"/>
          </w:tcPr>
          <w:p w:rsidR="00BF4029" w:rsidRDefault="00A24DEF">
            <w:pPr>
              <w:pStyle w:val="TableParagraph"/>
              <w:spacing w:before="3"/>
              <w:ind w:left="116" w:right="-15"/>
              <w:rPr>
                <w:sz w:val="18"/>
              </w:rPr>
            </w:pPr>
            <w:r>
              <w:rPr>
                <w:w w:val="105"/>
                <w:sz w:val="18"/>
              </w:rPr>
              <w:t>0.71</w:t>
            </w:r>
          </w:p>
        </w:tc>
        <w:tc>
          <w:tcPr>
            <w:tcW w:w="800" w:type="dxa"/>
          </w:tcPr>
          <w:p w:rsidR="00BF4029" w:rsidRDefault="00A24DEF">
            <w:pPr>
              <w:pStyle w:val="TableParagraph"/>
              <w:spacing w:before="3"/>
              <w:ind w:left="111"/>
              <w:rPr>
                <w:sz w:val="18"/>
              </w:rPr>
            </w:pPr>
            <w:r>
              <w:rPr>
                <w:w w:val="105"/>
                <w:sz w:val="18"/>
              </w:rPr>
              <w:t>0.11</w:t>
            </w:r>
          </w:p>
        </w:tc>
        <w:tc>
          <w:tcPr>
            <w:tcW w:w="675" w:type="dxa"/>
          </w:tcPr>
          <w:p w:rsidR="00BF4029" w:rsidRDefault="00A24DEF">
            <w:pPr>
              <w:pStyle w:val="TableParagraph"/>
              <w:spacing w:before="3"/>
              <w:ind w:left="111"/>
              <w:rPr>
                <w:sz w:val="18"/>
              </w:rPr>
            </w:pPr>
            <w:r>
              <w:rPr>
                <w:w w:val="105"/>
                <w:sz w:val="18"/>
              </w:rPr>
              <w:t>0.10</w:t>
            </w:r>
          </w:p>
        </w:tc>
      </w:tr>
      <w:tr w:rsidR="00BF4029">
        <w:trPr>
          <w:trHeight w:val="842"/>
        </w:trPr>
        <w:tc>
          <w:tcPr>
            <w:tcW w:w="727" w:type="dxa"/>
          </w:tcPr>
          <w:p w:rsidR="00BF4029" w:rsidRDefault="00A24DEF">
            <w:pPr>
              <w:pStyle w:val="TableParagraph"/>
              <w:spacing w:before="3"/>
              <w:ind w:left="107" w:right="34"/>
              <w:rPr>
                <w:sz w:val="18"/>
              </w:rPr>
            </w:pPr>
            <w:r>
              <w:rPr>
                <w:sz w:val="18"/>
              </w:rPr>
              <w:t xml:space="preserve">Model </w:t>
            </w:r>
            <w:r>
              <w:rPr>
                <w:w w:val="105"/>
                <w:sz w:val="18"/>
              </w:rPr>
              <w:t>5</w:t>
            </w:r>
          </w:p>
        </w:tc>
        <w:tc>
          <w:tcPr>
            <w:tcW w:w="1750" w:type="dxa"/>
          </w:tcPr>
          <w:p w:rsidR="00BF4029" w:rsidRDefault="00A24DEF">
            <w:pPr>
              <w:pStyle w:val="TableParagraph"/>
              <w:spacing w:before="3"/>
              <w:ind w:left="115"/>
              <w:rPr>
                <w:sz w:val="18"/>
              </w:rPr>
            </w:pPr>
            <w:r>
              <w:rPr>
                <w:w w:val="105"/>
                <w:sz w:val="18"/>
              </w:rPr>
              <w:t>One-factor model: all items were combined into one</w:t>
            </w:r>
          </w:p>
          <w:p w:rsidR="00BF4029" w:rsidRDefault="00A24DEF">
            <w:pPr>
              <w:pStyle w:val="TableParagraph"/>
              <w:spacing w:before="9" w:line="189" w:lineRule="exact"/>
              <w:ind w:left="115"/>
              <w:rPr>
                <w:sz w:val="18"/>
              </w:rPr>
            </w:pPr>
            <w:r>
              <w:rPr>
                <w:w w:val="105"/>
                <w:sz w:val="18"/>
              </w:rPr>
              <w:t>factor</w:t>
            </w:r>
          </w:p>
        </w:tc>
        <w:tc>
          <w:tcPr>
            <w:tcW w:w="799" w:type="dxa"/>
          </w:tcPr>
          <w:p w:rsidR="00BF4029" w:rsidRDefault="00A24DEF">
            <w:pPr>
              <w:pStyle w:val="TableParagraph"/>
              <w:spacing w:before="3"/>
              <w:ind w:left="110" w:right="-15"/>
              <w:rPr>
                <w:sz w:val="18"/>
              </w:rPr>
            </w:pPr>
            <w:r>
              <w:rPr>
                <w:w w:val="105"/>
                <w:sz w:val="18"/>
              </w:rPr>
              <w:t>2889.14</w:t>
            </w:r>
          </w:p>
        </w:tc>
        <w:tc>
          <w:tcPr>
            <w:tcW w:w="437" w:type="dxa"/>
          </w:tcPr>
          <w:p w:rsidR="00BF4029" w:rsidRDefault="00A24DEF">
            <w:pPr>
              <w:pStyle w:val="TableParagraph"/>
              <w:spacing w:before="3"/>
              <w:ind w:left="115" w:right="-15"/>
              <w:rPr>
                <w:sz w:val="18"/>
              </w:rPr>
            </w:pPr>
            <w:r>
              <w:rPr>
                <w:w w:val="105"/>
                <w:sz w:val="18"/>
              </w:rPr>
              <w:t>638</w:t>
            </w:r>
          </w:p>
        </w:tc>
        <w:tc>
          <w:tcPr>
            <w:tcW w:w="564" w:type="dxa"/>
          </w:tcPr>
          <w:p w:rsidR="00BF4029" w:rsidRDefault="00A24DEF">
            <w:pPr>
              <w:pStyle w:val="TableParagraph"/>
              <w:spacing w:before="3"/>
              <w:ind w:left="112"/>
              <w:rPr>
                <w:sz w:val="18"/>
              </w:rPr>
            </w:pPr>
            <w:r>
              <w:rPr>
                <w:w w:val="105"/>
                <w:sz w:val="18"/>
              </w:rPr>
              <w:t>4.53</w:t>
            </w:r>
          </w:p>
        </w:tc>
        <w:tc>
          <w:tcPr>
            <w:tcW w:w="1020" w:type="dxa"/>
          </w:tcPr>
          <w:p w:rsidR="00BF4029" w:rsidRDefault="00A24DEF">
            <w:pPr>
              <w:pStyle w:val="TableParagraph"/>
              <w:spacing w:before="3"/>
              <w:ind w:left="110" w:right="-15"/>
              <w:rPr>
                <w:sz w:val="18"/>
              </w:rPr>
            </w:pPr>
            <w:r>
              <w:rPr>
                <w:w w:val="105"/>
                <w:sz w:val="18"/>
              </w:rPr>
              <w:t>1524.98***</w:t>
            </w:r>
          </w:p>
        </w:tc>
        <w:tc>
          <w:tcPr>
            <w:tcW w:w="482" w:type="dxa"/>
          </w:tcPr>
          <w:p w:rsidR="00BF4029" w:rsidRDefault="00A24DEF">
            <w:pPr>
              <w:pStyle w:val="TableParagraph"/>
              <w:spacing w:before="3"/>
              <w:ind w:left="108" w:right="-15"/>
              <w:rPr>
                <w:sz w:val="18"/>
              </w:rPr>
            </w:pPr>
            <w:r>
              <w:rPr>
                <w:w w:val="105"/>
                <w:sz w:val="18"/>
              </w:rPr>
              <w:t>0.68</w:t>
            </w:r>
          </w:p>
        </w:tc>
        <w:tc>
          <w:tcPr>
            <w:tcW w:w="487" w:type="dxa"/>
          </w:tcPr>
          <w:p w:rsidR="00BF4029" w:rsidRDefault="00A24DEF">
            <w:pPr>
              <w:pStyle w:val="TableParagraph"/>
              <w:spacing w:before="3"/>
              <w:ind w:left="116" w:right="-15"/>
              <w:rPr>
                <w:sz w:val="18"/>
              </w:rPr>
            </w:pPr>
            <w:r>
              <w:rPr>
                <w:w w:val="105"/>
                <w:sz w:val="18"/>
              </w:rPr>
              <w:t>0.69</w:t>
            </w:r>
          </w:p>
        </w:tc>
        <w:tc>
          <w:tcPr>
            <w:tcW w:w="800" w:type="dxa"/>
          </w:tcPr>
          <w:p w:rsidR="00BF4029" w:rsidRDefault="00A24DEF">
            <w:pPr>
              <w:pStyle w:val="TableParagraph"/>
              <w:spacing w:before="3"/>
              <w:ind w:left="111"/>
              <w:rPr>
                <w:sz w:val="18"/>
              </w:rPr>
            </w:pPr>
            <w:r>
              <w:rPr>
                <w:w w:val="105"/>
                <w:sz w:val="18"/>
              </w:rPr>
              <w:t>0.11</w:t>
            </w:r>
          </w:p>
        </w:tc>
        <w:tc>
          <w:tcPr>
            <w:tcW w:w="675" w:type="dxa"/>
          </w:tcPr>
          <w:p w:rsidR="00BF4029" w:rsidRDefault="00A24DEF">
            <w:pPr>
              <w:pStyle w:val="TableParagraph"/>
              <w:spacing w:before="3"/>
              <w:ind w:left="111"/>
              <w:rPr>
                <w:sz w:val="18"/>
              </w:rPr>
            </w:pPr>
            <w:r>
              <w:rPr>
                <w:w w:val="105"/>
                <w:sz w:val="18"/>
              </w:rPr>
              <w:t>0.11</w:t>
            </w:r>
          </w:p>
        </w:tc>
      </w:tr>
    </w:tbl>
    <w:p w:rsidR="00BF4029" w:rsidRDefault="00A24DEF">
      <w:pPr>
        <w:spacing w:before="109"/>
        <w:ind w:left="784"/>
        <w:rPr>
          <w:rFonts w:ascii="Times New Roman"/>
          <w:i/>
          <w:sz w:val="24"/>
        </w:rPr>
      </w:pPr>
      <w:r>
        <w:rPr>
          <w:rFonts w:ascii="Times New Roman"/>
          <w:i/>
          <w:sz w:val="24"/>
        </w:rPr>
        <w:t>Note: *** p &lt; 0.001</w:t>
      </w:r>
    </w:p>
    <w:p w:rsidR="00BF4029" w:rsidRDefault="00BF4029">
      <w:pPr>
        <w:rPr>
          <w:rFonts w:ascii="Times New Roman"/>
          <w:sz w:val="24"/>
        </w:rPr>
        <w:sectPr w:rsidR="00BF4029">
          <w:pgSz w:w="9980" w:h="14180"/>
          <w:pgMar w:top="1240" w:right="840" w:bottom="1100" w:left="860" w:header="625" w:footer="911" w:gutter="0"/>
          <w:cols w:space="720"/>
        </w:sectPr>
      </w:pPr>
    </w:p>
    <w:p w:rsidR="00BF4029" w:rsidRDefault="00BF4029">
      <w:pPr>
        <w:pStyle w:val="BodyText"/>
        <w:spacing w:before="4"/>
        <w:rPr>
          <w:rFonts w:ascii="Times New Roman"/>
          <w:i/>
          <w:sz w:val="21"/>
        </w:rPr>
      </w:pPr>
    </w:p>
    <w:p w:rsidR="00BF4029" w:rsidRDefault="00A24DEF">
      <w:pPr>
        <w:pStyle w:val="BodyText"/>
        <w:spacing w:before="94"/>
        <w:ind w:left="104" w:right="125"/>
        <w:jc w:val="both"/>
      </w:pPr>
      <w:r>
        <w:t>All constructs achieve discriminant validity as all AVE values were greater than the squared correlation estimate (Fornell &amp; Larcker, 1981).</w:t>
      </w:r>
    </w:p>
    <w:p w:rsidR="00BF4029" w:rsidRDefault="00BF4029">
      <w:pPr>
        <w:pStyle w:val="BodyText"/>
        <w:spacing w:before="10"/>
        <w:rPr>
          <w:sz w:val="21"/>
        </w:rPr>
      </w:pPr>
    </w:p>
    <w:p w:rsidR="00BF4029" w:rsidRDefault="00A24DEF">
      <w:pPr>
        <w:pStyle w:val="Heading1"/>
        <w:spacing w:before="1"/>
      </w:pPr>
      <w:r>
        <w:t>Common method bias</w:t>
      </w:r>
    </w:p>
    <w:p w:rsidR="00BF4029" w:rsidRDefault="00A24DEF">
      <w:pPr>
        <w:pStyle w:val="BodyText"/>
        <w:spacing w:before="128"/>
        <w:ind w:left="104" w:right="114"/>
        <w:jc w:val="both"/>
      </w:pPr>
      <w:r>
        <w:t>As the variables were collected from a single key respondent from service employees, it is impo</w:t>
      </w:r>
      <w:r>
        <w:t>rtant to assess the measures for potential common method bias</w:t>
      </w:r>
      <w:r>
        <w:rPr>
          <w:spacing w:val="-6"/>
        </w:rPr>
        <w:t xml:space="preserve"> </w:t>
      </w:r>
      <w:r>
        <w:t>(Delcourt</w:t>
      </w:r>
      <w:r>
        <w:rPr>
          <w:spacing w:val="-4"/>
        </w:rPr>
        <w:t xml:space="preserve"> </w:t>
      </w:r>
      <w:r>
        <w:t>et</w:t>
      </w:r>
      <w:r>
        <w:rPr>
          <w:spacing w:val="-5"/>
        </w:rPr>
        <w:t xml:space="preserve"> </w:t>
      </w:r>
      <w:r>
        <w:t>al.,</w:t>
      </w:r>
      <w:r>
        <w:rPr>
          <w:spacing w:val="-4"/>
        </w:rPr>
        <w:t xml:space="preserve"> </w:t>
      </w:r>
      <w:r>
        <w:t>2013;</w:t>
      </w:r>
      <w:r>
        <w:rPr>
          <w:spacing w:val="-5"/>
        </w:rPr>
        <w:t xml:space="preserve"> </w:t>
      </w:r>
      <w:r>
        <w:t>Melton</w:t>
      </w:r>
      <w:r>
        <w:rPr>
          <w:spacing w:val="-6"/>
        </w:rPr>
        <w:t xml:space="preserve"> </w:t>
      </w:r>
      <w:r>
        <w:t>&amp;</w:t>
      </w:r>
      <w:r>
        <w:rPr>
          <w:spacing w:val="-7"/>
        </w:rPr>
        <w:t xml:space="preserve"> </w:t>
      </w:r>
      <w:r>
        <w:t>Hartline,</w:t>
      </w:r>
      <w:r>
        <w:rPr>
          <w:spacing w:val="-2"/>
        </w:rPr>
        <w:t xml:space="preserve"> </w:t>
      </w:r>
      <w:r>
        <w:t>2013).</w:t>
      </w:r>
      <w:r>
        <w:rPr>
          <w:spacing w:val="-8"/>
        </w:rPr>
        <w:t xml:space="preserve"> </w:t>
      </w:r>
      <w:r>
        <w:t>The</w:t>
      </w:r>
      <w:r>
        <w:rPr>
          <w:spacing w:val="-6"/>
        </w:rPr>
        <w:t xml:space="preserve"> </w:t>
      </w:r>
      <w:r>
        <w:t>potential</w:t>
      </w:r>
      <w:r>
        <w:rPr>
          <w:spacing w:val="-7"/>
        </w:rPr>
        <w:t xml:space="preserve"> </w:t>
      </w:r>
      <w:r>
        <w:t>common</w:t>
      </w:r>
      <w:r>
        <w:rPr>
          <w:spacing w:val="-5"/>
        </w:rPr>
        <w:t xml:space="preserve"> </w:t>
      </w:r>
      <w:r>
        <w:t xml:space="preserve">method bias was first reduced through the design of the study as suggested from MacKenzie, Lee and Podsakoff (2003). </w:t>
      </w:r>
      <w:r>
        <w:rPr>
          <w:spacing w:val="3"/>
        </w:rPr>
        <w:t xml:space="preserve">We </w:t>
      </w:r>
      <w:r>
        <w:t>used lengthy scales with clear, concise and unambiguous scale items. In addition, in the survey questionnaire, we assured respondents that their answers are anonymous and that there were no right or wrong</w:t>
      </w:r>
      <w:r>
        <w:rPr>
          <w:spacing w:val="-9"/>
        </w:rPr>
        <w:t xml:space="preserve"> </w:t>
      </w:r>
      <w:r>
        <w:t>answers,</w:t>
      </w:r>
      <w:r>
        <w:rPr>
          <w:spacing w:val="-10"/>
        </w:rPr>
        <w:t xml:space="preserve"> </w:t>
      </w:r>
      <w:r>
        <w:t>encouraging</w:t>
      </w:r>
      <w:r>
        <w:rPr>
          <w:spacing w:val="-9"/>
        </w:rPr>
        <w:t xml:space="preserve"> </w:t>
      </w:r>
      <w:r>
        <w:t>them</w:t>
      </w:r>
      <w:r>
        <w:rPr>
          <w:spacing w:val="-12"/>
        </w:rPr>
        <w:t xml:space="preserve"> </w:t>
      </w:r>
      <w:r>
        <w:t>to</w:t>
      </w:r>
      <w:r>
        <w:rPr>
          <w:spacing w:val="-11"/>
        </w:rPr>
        <w:t xml:space="preserve"> </w:t>
      </w:r>
      <w:r>
        <w:t>answer</w:t>
      </w:r>
      <w:r>
        <w:rPr>
          <w:spacing w:val="-10"/>
        </w:rPr>
        <w:t xml:space="preserve"> </w:t>
      </w:r>
      <w:r>
        <w:t>the</w:t>
      </w:r>
      <w:r>
        <w:rPr>
          <w:spacing w:val="-14"/>
        </w:rPr>
        <w:t xml:space="preserve"> </w:t>
      </w:r>
      <w:r>
        <w:t>questions</w:t>
      </w:r>
      <w:r>
        <w:rPr>
          <w:spacing w:val="-10"/>
        </w:rPr>
        <w:t xml:space="preserve"> </w:t>
      </w:r>
      <w:r>
        <w:t>a</w:t>
      </w:r>
      <w:r>
        <w:t>s</w:t>
      </w:r>
      <w:r>
        <w:rPr>
          <w:spacing w:val="-11"/>
        </w:rPr>
        <w:t xml:space="preserve"> </w:t>
      </w:r>
      <w:r>
        <w:t>honestly</w:t>
      </w:r>
      <w:r>
        <w:rPr>
          <w:spacing w:val="-13"/>
        </w:rPr>
        <w:t xml:space="preserve"> </w:t>
      </w:r>
      <w:r>
        <w:t>as</w:t>
      </w:r>
      <w:r>
        <w:rPr>
          <w:spacing w:val="-10"/>
        </w:rPr>
        <w:t xml:space="preserve"> </w:t>
      </w:r>
      <w:r>
        <w:t xml:space="preserve">possible. Further, we used the Harman single factor test (Podsakoff et al., 2003) to assess the potential impact of a common method factor and found that the goodness-of-fit of the single factor model was highly unsatisfactory (χ2/df = 4.53, </w:t>
      </w:r>
      <w:r>
        <w:t>CFI = 0.68, IFI = 0.69,</w:t>
      </w:r>
      <w:r>
        <w:rPr>
          <w:spacing w:val="-8"/>
        </w:rPr>
        <w:t xml:space="preserve"> </w:t>
      </w:r>
      <w:r>
        <w:t>RMSEA=</w:t>
      </w:r>
      <w:r>
        <w:rPr>
          <w:spacing w:val="-4"/>
        </w:rPr>
        <w:t xml:space="preserve"> </w:t>
      </w:r>
      <w:r>
        <w:t>0.11,</w:t>
      </w:r>
      <w:r>
        <w:rPr>
          <w:spacing w:val="-7"/>
        </w:rPr>
        <w:t xml:space="preserve"> </w:t>
      </w:r>
      <w:r>
        <w:t>SRMR</w:t>
      </w:r>
      <w:r>
        <w:rPr>
          <w:spacing w:val="-6"/>
        </w:rPr>
        <w:t xml:space="preserve"> </w:t>
      </w:r>
      <w:r>
        <w:t>=</w:t>
      </w:r>
      <w:r>
        <w:rPr>
          <w:spacing w:val="-4"/>
        </w:rPr>
        <w:t xml:space="preserve"> </w:t>
      </w:r>
      <w:r>
        <w:t>0.11).</w:t>
      </w:r>
      <w:r>
        <w:rPr>
          <w:spacing w:val="-9"/>
        </w:rPr>
        <w:t xml:space="preserve"> </w:t>
      </w:r>
      <w:r>
        <w:t>This</w:t>
      </w:r>
      <w:r>
        <w:rPr>
          <w:spacing w:val="-5"/>
        </w:rPr>
        <w:t xml:space="preserve"> </w:t>
      </w:r>
      <w:r>
        <w:t>indicates</w:t>
      </w:r>
      <w:r>
        <w:rPr>
          <w:spacing w:val="-6"/>
        </w:rPr>
        <w:t xml:space="preserve"> </w:t>
      </w:r>
      <w:r>
        <w:t>that</w:t>
      </w:r>
      <w:r>
        <w:rPr>
          <w:spacing w:val="-6"/>
        </w:rPr>
        <w:t xml:space="preserve"> </w:t>
      </w:r>
      <w:r>
        <w:t>common</w:t>
      </w:r>
      <w:r>
        <w:rPr>
          <w:spacing w:val="-11"/>
        </w:rPr>
        <w:t xml:space="preserve"> </w:t>
      </w:r>
      <w:r>
        <w:t>method</w:t>
      </w:r>
      <w:r>
        <w:rPr>
          <w:spacing w:val="-8"/>
        </w:rPr>
        <w:t xml:space="preserve"> </w:t>
      </w:r>
      <w:r>
        <w:t>bias</w:t>
      </w:r>
      <w:r>
        <w:rPr>
          <w:spacing w:val="-5"/>
        </w:rPr>
        <w:t xml:space="preserve"> </w:t>
      </w:r>
      <w:r>
        <w:t>is</w:t>
      </w:r>
      <w:r>
        <w:rPr>
          <w:spacing w:val="-5"/>
        </w:rPr>
        <w:t xml:space="preserve"> </w:t>
      </w:r>
      <w:r>
        <w:t>not problematic in the</w:t>
      </w:r>
      <w:r>
        <w:rPr>
          <w:spacing w:val="-5"/>
        </w:rPr>
        <w:t xml:space="preserve"> </w:t>
      </w:r>
      <w:r>
        <w:t>study.</w:t>
      </w:r>
    </w:p>
    <w:p w:rsidR="00BF4029" w:rsidRDefault="00BF4029">
      <w:pPr>
        <w:pStyle w:val="BodyText"/>
        <w:spacing w:before="8"/>
        <w:rPr>
          <w:sz w:val="21"/>
        </w:rPr>
      </w:pPr>
    </w:p>
    <w:p w:rsidR="00BF4029" w:rsidRDefault="00A24DEF">
      <w:pPr>
        <w:pStyle w:val="Heading1"/>
      </w:pPr>
      <w:r>
        <w:t>Structural model estimation and results</w:t>
      </w:r>
    </w:p>
    <w:p w:rsidR="00BF4029" w:rsidRDefault="00A24DEF">
      <w:pPr>
        <w:pStyle w:val="BodyText"/>
        <w:spacing w:before="129"/>
        <w:ind w:left="104" w:right="119"/>
        <w:jc w:val="both"/>
      </w:pPr>
      <w:r>
        <w:t>To test the hypothesized relationships developed in this study, full structural equation modeling (SEM) in AMOS 20.0 was used. Some critical advantages of using this technique are its ability to test an entire model simultaneously, and its ability to estim</w:t>
      </w:r>
      <w:r>
        <w:t>ate the direct and indirect effects of independent variables on dependent variables (Kline, 2011). This technique therefore provides an integrated view</w:t>
      </w:r>
      <w:r>
        <w:rPr>
          <w:spacing w:val="-14"/>
        </w:rPr>
        <w:t xml:space="preserve"> </w:t>
      </w:r>
      <w:r>
        <w:t>of</w:t>
      </w:r>
      <w:r>
        <w:rPr>
          <w:spacing w:val="-8"/>
        </w:rPr>
        <w:t xml:space="preserve"> </w:t>
      </w:r>
      <w:r>
        <w:t>relationships,</w:t>
      </w:r>
      <w:r>
        <w:rPr>
          <w:spacing w:val="-13"/>
        </w:rPr>
        <w:t xml:space="preserve"> </w:t>
      </w:r>
      <w:r>
        <w:t>rather</w:t>
      </w:r>
      <w:r>
        <w:rPr>
          <w:spacing w:val="-10"/>
        </w:rPr>
        <w:t xml:space="preserve"> </w:t>
      </w:r>
      <w:r>
        <w:t>than</w:t>
      </w:r>
      <w:r>
        <w:rPr>
          <w:spacing w:val="-11"/>
        </w:rPr>
        <w:t xml:space="preserve"> </w:t>
      </w:r>
      <w:r>
        <w:t>of</w:t>
      </w:r>
      <w:r>
        <w:rPr>
          <w:spacing w:val="-9"/>
        </w:rPr>
        <w:t xml:space="preserve"> </w:t>
      </w:r>
      <w:r>
        <w:t>individualized</w:t>
      </w:r>
      <w:r>
        <w:rPr>
          <w:spacing w:val="-9"/>
        </w:rPr>
        <w:t xml:space="preserve"> </w:t>
      </w:r>
      <w:r>
        <w:t>pairs</w:t>
      </w:r>
      <w:r>
        <w:rPr>
          <w:spacing w:val="-11"/>
        </w:rPr>
        <w:t xml:space="preserve"> </w:t>
      </w:r>
      <w:r>
        <w:t>(Conduit</w:t>
      </w:r>
      <w:r>
        <w:rPr>
          <w:spacing w:val="-10"/>
        </w:rPr>
        <w:t xml:space="preserve"> </w:t>
      </w:r>
      <w:r>
        <w:t>&amp;</w:t>
      </w:r>
      <w:r>
        <w:rPr>
          <w:spacing w:val="-12"/>
        </w:rPr>
        <w:t xml:space="preserve"> </w:t>
      </w:r>
      <w:r>
        <w:t>Mavondo,</w:t>
      </w:r>
      <w:r>
        <w:rPr>
          <w:spacing w:val="-10"/>
        </w:rPr>
        <w:t xml:space="preserve"> </w:t>
      </w:r>
      <w:r>
        <w:t>2001). The structural hypothesized model provides a reasonable fit to the sample data.</w:t>
      </w:r>
      <w:r>
        <w:rPr>
          <w:spacing w:val="-33"/>
        </w:rPr>
        <w:t xml:space="preserve"> </w:t>
      </w:r>
      <w:r>
        <w:t>All goodness-of-fit indices were within acceptable range (χ2/df = 2.32, CFI = 0.91,</w:t>
      </w:r>
      <w:r>
        <w:rPr>
          <w:spacing w:val="7"/>
        </w:rPr>
        <w:t xml:space="preserve"> </w:t>
      </w:r>
      <w:r>
        <w:t>IFI</w:t>
      </w:r>
    </w:p>
    <w:p w:rsidR="00BF4029" w:rsidRDefault="00A24DEF">
      <w:pPr>
        <w:pStyle w:val="BodyText"/>
        <w:spacing w:before="2"/>
        <w:ind w:left="104"/>
        <w:jc w:val="both"/>
      </w:pPr>
      <w:r>
        <w:t>= 0.92, TLI = 0.9, SRMR = 0.058, RMSEA = 0.068).</w:t>
      </w:r>
    </w:p>
    <w:p w:rsidR="00BF4029" w:rsidRDefault="00BF4029">
      <w:pPr>
        <w:pStyle w:val="BodyText"/>
        <w:spacing w:before="1"/>
      </w:pPr>
    </w:p>
    <w:p w:rsidR="00BF4029" w:rsidRDefault="00A24DEF">
      <w:pPr>
        <w:pStyle w:val="BodyText"/>
        <w:ind w:left="104" w:right="115"/>
        <w:jc w:val="both"/>
      </w:pPr>
      <w:r>
        <w:t>The</w:t>
      </w:r>
      <w:r>
        <w:rPr>
          <w:spacing w:val="-6"/>
        </w:rPr>
        <w:t xml:space="preserve"> </w:t>
      </w:r>
      <w:r>
        <w:t>standardized</w:t>
      </w:r>
      <w:r>
        <w:rPr>
          <w:spacing w:val="-8"/>
        </w:rPr>
        <w:t xml:space="preserve"> </w:t>
      </w:r>
      <w:r>
        <w:t>factor</w:t>
      </w:r>
      <w:r>
        <w:rPr>
          <w:spacing w:val="-5"/>
        </w:rPr>
        <w:t xml:space="preserve"> </w:t>
      </w:r>
      <w:r>
        <w:t>loading</w:t>
      </w:r>
      <w:r>
        <w:t>s</w:t>
      </w:r>
      <w:r>
        <w:rPr>
          <w:spacing w:val="-4"/>
        </w:rPr>
        <w:t xml:space="preserve"> </w:t>
      </w:r>
      <w:r>
        <w:t>shown</w:t>
      </w:r>
      <w:r>
        <w:rPr>
          <w:spacing w:val="-5"/>
        </w:rPr>
        <w:t xml:space="preserve"> </w:t>
      </w:r>
      <w:r>
        <w:t>in</w:t>
      </w:r>
      <w:r>
        <w:rPr>
          <w:spacing w:val="-5"/>
        </w:rPr>
        <w:t xml:space="preserve"> </w:t>
      </w:r>
      <w:r>
        <w:t>Table</w:t>
      </w:r>
      <w:r>
        <w:rPr>
          <w:spacing w:val="-8"/>
        </w:rPr>
        <w:t xml:space="preserve"> </w:t>
      </w:r>
      <w:r>
        <w:t>4</w:t>
      </w:r>
      <w:r>
        <w:rPr>
          <w:spacing w:val="-5"/>
        </w:rPr>
        <w:t xml:space="preserve"> </w:t>
      </w:r>
      <w:r>
        <w:t>indicate</w:t>
      </w:r>
      <w:r>
        <w:rPr>
          <w:spacing w:val="-4"/>
        </w:rPr>
        <w:t xml:space="preserve"> </w:t>
      </w:r>
      <w:r>
        <w:t>that</w:t>
      </w:r>
      <w:r>
        <w:rPr>
          <w:spacing w:val="-7"/>
        </w:rPr>
        <w:t xml:space="preserve"> </w:t>
      </w:r>
      <w:r>
        <w:t>service</w:t>
      </w:r>
      <w:r>
        <w:rPr>
          <w:spacing w:val="-5"/>
        </w:rPr>
        <w:t xml:space="preserve"> </w:t>
      </w:r>
      <w:r>
        <w:t>climate</w:t>
      </w:r>
      <w:r>
        <w:rPr>
          <w:spacing w:val="-5"/>
        </w:rPr>
        <w:t xml:space="preserve"> </w:t>
      </w:r>
      <w:r>
        <w:t>has a</w:t>
      </w:r>
      <w:r>
        <w:rPr>
          <w:spacing w:val="-10"/>
        </w:rPr>
        <w:t xml:space="preserve"> </w:t>
      </w:r>
      <w:r>
        <w:t>statistically</w:t>
      </w:r>
      <w:r>
        <w:rPr>
          <w:spacing w:val="-12"/>
        </w:rPr>
        <w:t xml:space="preserve"> </w:t>
      </w:r>
      <w:r>
        <w:t>positive</w:t>
      </w:r>
      <w:r>
        <w:rPr>
          <w:spacing w:val="-10"/>
        </w:rPr>
        <w:t xml:space="preserve"> </w:t>
      </w:r>
      <w:r>
        <w:t>influence</w:t>
      </w:r>
      <w:r>
        <w:rPr>
          <w:spacing w:val="-11"/>
        </w:rPr>
        <w:t xml:space="preserve"> </w:t>
      </w:r>
      <w:r>
        <w:t>on</w:t>
      </w:r>
      <w:r>
        <w:rPr>
          <w:spacing w:val="-11"/>
        </w:rPr>
        <w:t xml:space="preserve"> </w:t>
      </w:r>
      <w:r>
        <w:t>BCB</w:t>
      </w:r>
      <w:r>
        <w:rPr>
          <w:spacing w:val="-11"/>
        </w:rPr>
        <w:t xml:space="preserve"> </w:t>
      </w:r>
      <w:r>
        <w:t>(r</w:t>
      </w:r>
      <w:r>
        <w:rPr>
          <w:spacing w:val="-9"/>
        </w:rPr>
        <w:t xml:space="preserve"> </w:t>
      </w:r>
      <w:r>
        <w:t>=</w:t>
      </w:r>
      <w:r>
        <w:rPr>
          <w:spacing w:val="-9"/>
        </w:rPr>
        <w:t xml:space="preserve"> </w:t>
      </w:r>
      <w:r>
        <w:t>0.64,</w:t>
      </w:r>
      <w:r>
        <w:rPr>
          <w:spacing w:val="-14"/>
        </w:rPr>
        <w:t xml:space="preserve"> </w:t>
      </w:r>
      <w:r>
        <w:t>p</w:t>
      </w:r>
      <w:r>
        <w:rPr>
          <w:spacing w:val="-10"/>
        </w:rPr>
        <w:t xml:space="preserve"> </w:t>
      </w:r>
      <w:r>
        <w:t>&lt;</w:t>
      </w:r>
      <w:r>
        <w:rPr>
          <w:spacing w:val="-9"/>
        </w:rPr>
        <w:t xml:space="preserve"> </w:t>
      </w:r>
      <w:r>
        <w:t>0.001),</w:t>
      </w:r>
      <w:r>
        <w:rPr>
          <w:spacing w:val="-10"/>
        </w:rPr>
        <w:t xml:space="preserve"> </w:t>
      </w:r>
      <w:r>
        <w:t>thereby</w:t>
      </w:r>
      <w:r>
        <w:rPr>
          <w:spacing w:val="-12"/>
        </w:rPr>
        <w:t xml:space="preserve"> </w:t>
      </w:r>
      <w:r>
        <w:t>supporting</w:t>
      </w:r>
      <w:r>
        <w:rPr>
          <w:spacing w:val="-8"/>
        </w:rPr>
        <w:t xml:space="preserve"> </w:t>
      </w:r>
      <w:r>
        <w:t xml:space="preserve">H1. Further, on the antecedents of service climate, both leadership commitment </w:t>
      </w:r>
      <w:r>
        <w:rPr>
          <w:spacing w:val="4"/>
        </w:rPr>
        <w:t xml:space="preserve">to </w:t>
      </w:r>
      <w:r>
        <w:t xml:space="preserve">service quality and service-oriented </w:t>
      </w:r>
      <w:r>
        <w:t>HRM were found to have a positive significant effect (r = 0.29, p &lt; 0.001 and r = 0.62, p &lt; 0.001,</w:t>
      </w:r>
      <w:r>
        <w:rPr>
          <w:spacing w:val="-14"/>
        </w:rPr>
        <w:t xml:space="preserve"> </w:t>
      </w:r>
      <w:r>
        <w:t>respectively).</w:t>
      </w:r>
    </w:p>
    <w:p w:rsidR="00BF4029" w:rsidRDefault="00BF4029">
      <w:pPr>
        <w:pStyle w:val="BodyText"/>
        <w:spacing w:before="10"/>
        <w:rPr>
          <w:sz w:val="21"/>
        </w:rPr>
      </w:pPr>
    </w:p>
    <w:p w:rsidR="00BF4029" w:rsidRDefault="00A24DEF">
      <w:pPr>
        <w:pStyle w:val="BodyText"/>
        <w:ind w:left="104" w:right="120"/>
        <w:jc w:val="both"/>
      </w:pPr>
      <w:r>
        <w:t>Thus, H2, and H3 were supported. Leadership commitment to service quality and service-oriented</w:t>
      </w:r>
      <w:r>
        <w:rPr>
          <w:spacing w:val="-15"/>
        </w:rPr>
        <w:t xml:space="preserve"> </w:t>
      </w:r>
      <w:r>
        <w:t>HR</w:t>
      </w:r>
      <w:r>
        <w:rPr>
          <w:spacing w:val="-16"/>
        </w:rPr>
        <w:t xml:space="preserve"> </w:t>
      </w:r>
      <w:r>
        <w:t>practices</w:t>
      </w:r>
      <w:r>
        <w:rPr>
          <w:spacing w:val="-15"/>
        </w:rPr>
        <w:t xml:space="preserve"> </w:t>
      </w:r>
      <w:r>
        <w:t>were</w:t>
      </w:r>
      <w:r>
        <w:rPr>
          <w:spacing w:val="-14"/>
        </w:rPr>
        <w:t xml:space="preserve"> </w:t>
      </w:r>
      <w:r>
        <w:t>both</w:t>
      </w:r>
      <w:r>
        <w:rPr>
          <w:spacing w:val="-17"/>
        </w:rPr>
        <w:t xml:space="preserve"> </w:t>
      </w:r>
      <w:r>
        <w:t>found</w:t>
      </w:r>
      <w:r>
        <w:rPr>
          <w:spacing w:val="-18"/>
        </w:rPr>
        <w:t xml:space="preserve"> </w:t>
      </w:r>
      <w:r>
        <w:t>to</w:t>
      </w:r>
      <w:r>
        <w:rPr>
          <w:spacing w:val="-15"/>
        </w:rPr>
        <w:t xml:space="preserve"> </w:t>
      </w:r>
      <w:r>
        <w:t>be</w:t>
      </w:r>
      <w:r>
        <w:rPr>
          <w:spacing w:val="-15"/>
        </w:rPr>
        <w:t xml:space="preserve"> </w:t>
      </w:r>
      <w:r>
        <w:t>crucial</w:t>
      </w:r>
      <w:r>
        <w:rPr>
          <w:spacing w:val="-15"/>
        </w:rPr>
        <w:t xml:space="preserve"> </w:t>
      </w:r>
      <w:r>
        <w:t>antecedents</w:t>
      </w:r>
      <w:r>
        <w:rPr>
          <w:spacing w:val="-16"/>
        </w:rPr>
        <w:t xml:space="preserve"> </w:t>
      </w:r>
      <w:r>
        <w:t>of</w:t>
      </w:r>
      <w:r>
        <w:rPr>
          <w:spacing w:val="-12"/>
        </w:rPr>
        <w:t xml:space="preserve"> </w:t>
      </w:r>
      <w:r>
        <w:t>a</w:t>
      </w:r>
      <w:r>
        <w:rPr>
          <w:spacing w:val="-18"/>
        </w:rPr>
        <w:t xml:space="preserve"> </w:t>
      </w:r>
      <w:r>
        <w:t>service climate. Both antecedents account for 72% of the variance of service climate. In turn, service climate explains 40% of the variance in</w:t>
      </w:r>
      <w:r>
        <w:rPr>
          <w:spacing w:val="-2"/>
        </w:rPr>
        <w:t xml:space="preserve"> </w:t>
      </w:r>
      <w:r>
        <w:t>BCB</w:t>
      </w:r>
    </w:p>
    <w:p w:rsidR="00BF4029" w:rsidRDefault="00BF4029">
      <w:pPr>
        <w:jc w:val="both"/>
        <w:sectPr w:rsidR="00BF4029">
          <w:pgSz w:w="9980" w:h="14180"/>
          <w:pgMar w:top="1240" w:right="840" w:bottom="1100" w:left="860" w:header="625" w:footer="911" w:gutter="0"/>
          <w:cols w:space="720"/>
        </w:sectPr>
      </w:pPr>
    </w:p>
    <w:p w:rsidR="00BF4029" w:rsidRDefault="00D7301A">
      <w:pPr>
        <w:spacing w:before="84"/>
        <w:ind w:left="825"/>
        <w:rPr>
          <w:sz w:val="18"/>
        </w:rPr>
      </w:pPr>
      <w:r>
        <w:rPr>
          <w:noProof/>
        </w:rPr>
        <w:lastRenderedPageBreak/>
        <mc:AlternateContent>
          <mc:Choice Requires="wpg">
            <w:drawing>
              <wp:anchor distT="0" distB="0" distL="114300" distR="114300" simplePos="0" relativeHeight="487000064" behindDoc="1" locked="0" layoutInCell="1" allowOverlap="1">
                <wp:simplePos x="0" y="0"/>
                <wp:positionH relativeFrom="page">
                  <wp:posOffset>1933575</wp:posOffset>
                </wp:positionH>
                <wp:positionV relativeFrom="paragraph">
                  <wp:posOffset>1116965</wp:posOffset>
                </wp:positionV>
                <wp:extent cx="263525" cy="70485"/>
                <wp:effectExtent l="0" t="0" r="0" b="0"/>
                <wp:wrapNone/>
                <wp:docPr id="1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3525" cy="70485"/>
                          <a:chOff x="3045" y="1759"/>
                          <a:chExt cx="415" cy="111"/>
                        </a:xfrm>
                      </wpg:grpSpPr>
                      <wps:wsp>
                        <wps:cNvPr id="13" name="Freeform 10"/>
                        <wps:cNvSpPr>
                          <a:spLocks/>
                        </wps:cNvSpPr>
                        <wps:spPr bwMode="auto">
                          <a:xfrm>
                            <a:off x="3065" y="1779"/>
                            <a:ext cx="375" cy="71"/>
                          </a:xfrm>
                          <a:custGeom>
                            <a:avLst/>
                            <a:gdLst>
                              <a:gd name="T0" fmla="+- 0 3405 3065"/>
                              <a:gd name="T1" fmla="*/ T0 w 375"/>
                              <a:gd name="T2" fmla="+- 0 1779 1779"/>
                              <a:gd name="T3" fmla="*/ 1779 h 71"/>
                              <a:gd name="T4" fmla="+- 0 3405 3065"/>
                              <a:gd name="T5" fmla="*/ T4 w 375"/>
                              <a:gd name="T6" fmla="+- 0 1797 1779"/>
                              <a:gd name="T7" fmla="*/ 1797 h 71"/>
                              <a:gd name="T8" fmla="+- 0 3065 3065"/>
                              <a:gd name="T9" fmla="*/ T8 w 375"/>
                              <a:gd name="T10" fmla="+- 0 1797 1779"/>
                              <a:gd name="T11" fmla="*/ 1797 h 71"/>
                              <a:gd name="T12" fmla="+- 0 3065 3065"/>
                              <a:gd name="T13" fmla="*/ T12 w 375"/>
                              <a:gd name="T14" fmla="+- 0 1832 1779"/>
                              <a:gd name="T15" fmla="*/ 1832 h 71"/>
                              <a:gd name="T16" fmla="+- 0 3405 3065"/>
                              <a:gd name="T17" fmla="*/ T16 w 375"/>
                              <a:gd name="T18" fmla="+- 0 1832 1779"/>
                              <a:gd name="T19" fmla="*/ 1832 h 71"/>
                              <a:gd name="T20" fmla="+- 0 3405 3065"/>
                              <a:gd name="T21" fmla="*/ T20 w 375"/>
                              <a:gd name="T22" fmla="+- 0 1850 1779"/>
                              <a:gd name="T23" fmla="*/ 1850 h 71"/>
                              <a:gd name="T24" fmla="+- 0 3440 3065"/>
                              <a:gd name="T25" fmla="*/ T24 w 375"/>
                              <a:gd name="T26" fmla="+- 0 1814 1779"/>
                              <a:gd name="T27" fmla="*/ 1814 h 71"/>
                              <a:gd name="T28" fmla="+- 0 3405 3065"/>
                              <a:gd name="T29" fmla="*/ T28 w 375"/>
                              <a:gd name="T30" fmla="+- 0 1779 1779"/>
                              <a:gd name="T31" fmla="*/ 1779 h 7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75" h="71">
                                <a:moveTo>
                                  <a:pt x="340" y="0"/>
                                </a:moveTo>
                                <a:lnTo>
                                  <a:pt x="340" y="18"/>
                                </a:lnTo>
                                <a:lnTo>
                                  <a:pt x="0" y="18"/>
                                </a:lnTo>
                                <a:lnTo>
                                  <a:pt x="0" y="53"/>
                                </a:lnTo>
                                <a:lnTo>
                                  <a:pt x="340" y="53"/>
                                </a:lnTo>
                                <a:lnTo>
                                  <a:pt x="340" y="71"/>
                                </a:lnTo>
                                <a:lnTo>
                                  <a:pt x="375" y="35"/>
                                </a:lnTo>
                                <a:lnTo>
                                  <a:pt x="3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9"/>
                        <wps:cNvSpPr>
                          <a:spLocks/>
                        </wps:cNvSpPr>
                        <wps:spPr bwMode="auto">
                          <a:xfrm>
                            <a:off x="3065" y="1779"/>
                            <a:ext cx="375" cy="71"/>
                          </a:xfrm>
                          <a:custGeom>
                            <a:avLst/>
                            <a:gdLst>
                              <a:gd name="T0" fmla="+- 0 3065 3065"/>
                              <a:gd name="T1" fmla="*/ T0 w 375"/>
                              <a:gd name="T2" fmla="+- 0 1797 1779"/>
                              <a:gd name="T3" fmla="*/ 1797 h 71"/>
                              <a:gd name="T4" fmla="+- 0 3405 3065"/>
                              <a:gd name="T5" fmla="*/ T4 w 375"/>
                              <a:gd name="T6" fmla="+- 0 1797 1779"/>
                              <a:gd name="T7" fmla="*/ 1797 h 71"/>
                              <a:gd name="T8" fmla="+- 0 3405 3065"/>
                              <a:gd name="T9" fmla="*/ T8 w 375"/>
                              <a:gd name="T10" fmla="+- 0 1779 1779"/>
                              <a:gd name="T11" fmla="*/ 1779 h 71"/>
                              <a:gd name="T12" fmla="+- 0 3440 3065"/>
                              <a:gd name="T13" fmla="*/ T12 w 375"/>
                              <a:gd name="T14" fmla="+- 0 1814 1779"/>
                              <a:gd name="T15" fmla="*/ 1814 h 71"/>
                              <a:gd name="T16" fmla="+- 0 3405 3065"/>
                              <a:gd name="T17" fmla="*/ T16 w 375"/>
                              <a:gd name="T18" fmla="+- 0 1850 1779"/>
                              <a:gd name="T19" fmla="*/ 1850 h 71"/>
                              <a:gd name="T20" fmla="+- 0 3405 3065"/>
                              <a:gd name="T21" fmla="*/ T20 w 375"/>
                              <a:gd name="T22" fmla="+- 0 1832 1779"/>
                              <a:gd name="T23" fmla="*/ 1832 h 71"/>
                              <a:gd name="T24" fmla="+- 0 3065 3065"/>
                              <a:gd name="T25" fmla="*/ T24 w 375"/>
                              <a:gd name="T26" fmla="+- 0 1832 1779"/>
                              <a:gd name="T27" fmla="*/ 1832 h 71"/>
                              <a:gd name="T28" fmla="+- 0 3065 3065"/>
                              <a:gd name="T29" fmla="*/ T28 w 375"/>
                              <a:gd name="T30" fmla="+- 0 1797 1779"/>
                              <a:gd name="T31" fmla="*/ 1797 h 7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75" h="71">
                                <a:moveTo>
                                  <a:pt x="0" y="18"/>
                                </a:moveTo>
                                <a:lnTo>
                                  <a:pt x="340" y="18"/>
                                </a:lnTo>
                                <a:lnTo>
                                  <a:pt x="340" y="0"/>
                                </a:lnTo>
                                <a:lnTo>
                                  <a:pt x="375" y="35"/>
                                </a:lnTo>
                                <a:lnTo>
                                  <a:pt x="340" y="71"/>
                                </a:lnTo>
                                <a:lnTo>
                                  <a:pt x="340" y="53"/>
                                </a:lnTo>
                                <a:lnTo>
                                  <a:pt x="0" y="53"/>
                                </a:lnTo>
                                <a:lnTo>
                                  <a:pt x="0" y="18"/>
                                </a:lnTo>
                                <a:close/>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152.25pt;margin-top:87.95pt;width:20.75pt;height:5.55pt;z-index:-16316416;mso-position-horizontal-relative:page" coordorigin="3045,1759" coordsize="415,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">
                <v:shape id="Freeform 10" o:spid="_x0000_s1027" style="position:absolute;left:3065;top:1779;width:375;height:71;visibility:visible;mso-wrap-style:square;v-text-anchor:top" coordsize="37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4Xx8EA&#10;AADbAAAADwAAAGRycy9kb3ducmV2LnhtbERPTWvCQBC9F/wPywi9NRtbKSF1lVBa6kEPjdrzkJ0m&#10;odnZkN1u4r93BcHbPN7nrDaT6USgwbWWFSySFARxZXXLtYLj4fMpA+E8ssbOMik4k4PNevawwlzb&#10;kb8plL4WMYRdjgoa7/tcSlc1ZNAltieO3K8dDPoIh1rqAccYbjr5nKav0mDLsaHBnt4bqv7Kf6Og&#10;+ML9x1nulmFhp59Mhq5Mw0mpx/lUvIHwNPm7+Obe6jj/Ba6/xAPk+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OuF8fBAAAA2wAAAA8AAAAAAAAAAAAAAAAAmAIAAGRycy9kb3du&#10;cmV2LnhtbFBLBQYAAAAABAAEAPUAAACGAwAAAAA=&#10;" path="m340,r,18l,18,,53r340,l340,71,375,35,340,xe" fillcolor="black" stroked="f">
                  <v:path arrowok="t" o:connecttype="custom" o:connectlocs="340,1779;340,1797;0,1797;0,1832;340,1832;340,1850;375,1814;340,1779" o:connectangles="0,0,0,0,0,0,0,0"/>
                </v:shape>
                <v:shape id="Freeform 9" o:spid="_x0000_s1028" style="position:absolute;left:3065;top:1779;width:375;height:71;visibility:visible;mso-wrap-style:square;v-text-anchor:top" coordsize="37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YK9MMA&#10;AADbAAAADwAAAGRycy9kb3ducmV2LnhtbERPS0vEMBC+C/6HMIIXsakPpNamiyiCeHDXKrXHIRnb&#10;YjOpSdyt/94IC97m43tOtVrsJLbkw+hYwVmWgyDWzozcK3h7fTgtQISIbHByTAp+KMCqPjyosDRu&#10;xy+0bWIvUgiHEhUMMc6llEEPZDFkbiZO3IfzFmOCvpfG4y6F20me5/mVtDhyahhwpruB9GfzbRVs&#10;9NN9vO6+mlC8r7uNLp4v2vZEqeOj5fYGRKQl/ov37keT5l/C3y/pAFn/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uYK9MMAAADbAAAADwAAAAAAAAAAAAAAAACYAgAAZHJzL2Rv&#10;d25yZXYueG1sUEsFBgAAAAAEAAQA9QAAAIgDAAAAAA==&#10;" path="m,18r340,l340,r35,35l340,71r,-18l,53,,18xe" filled="f" strokeweight="2pt">
                  <v:path arrowok="t" o:connecttype="custom" o:connectlocs="0,1797;340,1797;340,1779;375,1814;340,1850;340,1832;0,1832;0,1797" o:connectangles="0,0,0,0,0,0,0,0"/>
                </v:shape>
                <w10:wrap anchorx="page"/>
              </v:group>
            </w:pict>
          </mc:Fallback>
        </mc:AlternateContent>
      </w:r>
      <w:r w:rsidR="00A24DEF">
        <w:rPr>
          <w:b/>
          <w:sz w:val="18"/>
        </w:rPr>
        <w:t xml:space="preserve">Table 4. </w:t>
      </w:r>
      <w:r w:rsidR="00A24DEF">
        <w:rPr>
          <w:sz w:val="18"/>
        </w:rPr>
        <w:t>Standardized structural paths</w:t>
      </w:r>
    </w:p>
    <w:p w:rsidR="00BF4029" w:rsidRDefault="00BF4029">
      <w:pPr>
        <w:pStyle w:val="BodyText"/>
        <w:spacing w:before="4"/>
        <w:rPr>
          <w:sz w:val="18"/>
        </w:rPr>
      </w:pPr>
    </w:p>
    <w:tbl>
      <w:tblPr>
        <w:tblW w:w="0" w:type="auto"/>
        <w:tblInd w:w="8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84"/>
        <w:gridCol w:w="1277"/>
        <w:gridCol w:w="754"/>
        <w:gridCol w:w="1143"/>
      </w:tblGrid>
      <w:tr w:rsidR="00BF4029">
        <w:trPr>
          <w:trHeight w:val="997"/>
        </w:trPr>
        <w:tc>
          <w:tcPr>
            <w:tcW w:w="4184" w:type="dxa"/>
          </w:tcPr>
          <w:p w:rsidR="00BF4029" w:rsidRDefault="00BF4029">
            <w:pPr>
              <w:pStyle w:val="TableParagraph"/>
              <w:spacing w:before="7"/>
              <w:ind w:left="0"/>
              <w:rPr>
                <w:sz w:val="17"/>
              </w:rPr>
            </w:pPr>
          </w:p>
          <w:p w:rsidR="00BF4029" w:rsidRDefault="00A24DEF">
            <w:pPr>
              <w:pStyle w:val="TableParagraph"/>
              <w:ind w:left="1649" w:right="1634"/>
              <w:jc w:val="center"/>
              <w:rPr>
                <w:b/>
                <w:sz w:val="18"/>
              </w:rPr>
            </w:pPr>
            <w:r>
              <w:rPr>
                <w:b/>
                <w:sz w:val="18"/>
              </w:rPr>
              <w:t xml:space="preserve">Structural </w:t>
            </w:r>
            <w:r>
              <w:rPr>
                <w:b/>
                <w:w w:val="105"/>
                <w:sz w:val="18"/>
              </w:rPr>
              <w:t>path</w:t>
            </w:r>
          </w:p>
        </w:tc>
        <w:tc>
          <w:tcPr>
            <w:tcW w:w="1277" w:type="dxa"/>
          </w:tcPr>
          <w:p w:rsidR="00BF4029" w:rsidRDefault="00A24DEF">
            <w:pPr>
              <w:pStyle w:val="TableParagraph"/>
              <w:spacing w:before="123" w:line="247" w:lineRule="auto"/>
              <w:ind w:left="158" w:right="258"/>
              <w:rPr>
                <w:b/>
                <w:sz w:val="18"/>
              </w:rPr>
            </w:pPr>
            <w:r>
              <w:rPr>
                <w:b/>
                <w:sz w:val="18"/>
              </w:rPr>
              <w:t>Standardi zed estimate</w:t>
            </w:r>
          </w:p>
        </w:tc>
        <w:tc>
          <w:tcPr>
            <w:tcW w:w="754" w:type="dxa"/>
          </w:tcPr>
          <w:p w:rsidR="00BF4029" w:rsidRDefault="00BF4029">
            <w:pPr>
              <w:pStyle w:val="TableParagraph"/>
              <w:spacing w:before="7"/>
              <w:ind w:left="0"/>
              <w:rPr>
                <w:sz w:val="17"/>
              </w:rPr>
            </w:pPr>
          </w:p>
          <w:p w:rsidR="00BF4029" w:rsidRDefault="00A24DEF">
            <w:pPr>
              <w:pStyle w:val="TableParagraph"/>
              <w:ind w:right="236"/>
              <w:rPr>
                <w:b/>
                <w:sz w:val="18"/>
              </w:rPr>
            </w:pPr>
            <w:r>
              <w:rPr>
                <w:b/>
                <w:w w:val="105"/>
                <w:sz w:val="18"/>
              </w:rPr>
              <w:t xml:space="preserve">t </w:t>
            </w:r>
            <w:r>
              <w:rPr>
                <w:b/>
                <w:sz w:val="18"/>
              </w:rPr>
              <w:t>value</w:t>
            </w:r>
          </w:p>
        </w:tc>
        <w:tc>
          <w:tcPr>
            <w:tcW w:w="1143" w:type="dxa"/>
          </w:tcPr>
          <w:p w:rsidR="00BF4029" w:rsidRDefault="00BF4029">
            <w:pPr>
              <w:pStyle w:val="TableParagraph"/>
              <w:spacing w:before="7"/>
              <w:ind w:left="0"/>
              <w:rPr>
                <w:sz w:val="17"/>
              </w:rPr>
            </w:pPr>
          </w:p>
          <w:p w:rsidR="00BF4029" w:rsidRDefault="00A24DEF">
            <w:pPr>
              <w:pStyle w:val="TableParagraph"/>
              <w:ind w:left="283"/>
              <w:rPr>
                <w:b/>
                <w:sz w:val="18"/>
              </w:rPr>
            </w:pPr>
            <w:r>
              <w:rPr>
                <w:b/>
                <w:w w:val="105"/>
                <w:sz w:val="18"/>
              </w:rPr>
              <w:t>Result</w:t>
            </w:r>
          </w:p>
        </w:tc>
      </w:tr>
      <w:tr w:rsidR="00BF4029">
        <w:trPr>
          <w:trHeight w:val="664"/>
        </w:trPr>
        <w:tc>
          <w:tcPr>
            <w:tcW w:w="4184" w:type="dxa"/>
          </w:tcPr>
          <w:p w:rsidR="00BF4029" w:rsidRDefault="00A24DEF">
            <w:pPr>
              <w:pStyle w:val="TableParagraph"/>
              <w:tabs>
                <w:tab w:val="left" w:pos="1915"/>
              </w:tabs>
              <w:spacing w:before="126"/>
              <w:ind w:left="112"/>
              <w:rPr>
                <w:sz w:val="18"/>
              </w:rPr>
            </w:pPr>
            <w:r>
              <w:rPr>
                <w:w w:val="105"/>
                <w:sz w:val="18"/>
              </w:rPr>
              <w:t>Service</w:t>
            </w:r>
            <w:r>
              <w:rPr>
                <w:spacing w:val="-6"/>
                <w:w w:val="105"/>
                <w:sz w:val="18"/>
              </w:rPr>
              <w:t xml:space="preserve"> </w:t>
            </w:r>
            <w:r>
              <w:rPr>
                <w:w w:val="105"/>
                <w:sz w:val="18"/>
              </w:rPr>
              <w:t>climate</w:t>
            </w:r>
            <w:r>
              <w:rPr>
                <w:w w:val="105"/>
                <w:sz w:val="18"/>
              </w:rPr>
              <w:tab/>
              <w:t>Brand</w:t>
            </w:r>
            <w:r>
              <w:rPr>
                <w:spacing w:val="6"/>
                <w:w w:val="105"/>
                <w:sz w:val="18"/>
              </w:rPr>
              <w:t xml:space="preserve"> </w:t>
            </w:r>
            <w:r>
              <w:rPr>
                <w:w w:val="105"/>
                <w:sz w:val="18"/>
              </w:rPr>
              <w:t>CB</w:t>
            </w:r>
          </w:p>
        </w:tc>
        <w:tc>
          <w:tcPr>
            <w:tcW w:w="1277" w:type="dxa"/>
          </w:tcPr>
          <w:p w:rsidR="00BF4029" w:rsidRDefault="00A24DEF">
            <w:pPr>
              <w:pStyle w:val="TableParagraph"/>
              <w:spacing w:before="126"/>
              <w:ind w:left="115"/>
              <w:rPr>
                <w:sz w:val="18"/>
              </w:rPr>
            </w:pPr>
            <w:r>
              <w:rPr>
                <w:w w:val="105"/>
                <w:sz w:val="18"/>
              </w:rPr>
              <w:t>0.64</w:t>
            </w:r>
          </w:p>
        </w:tc>
        <w:tc>
          <w:tcPr>
            <w:tcW w:w="754" w:type="dxa"/>
          </w:tcPr>
          <w:p w:rsidR="00BF4029" w:rsidRDefault="00A24DEF">
            <w:pPr>
              <w:pStyle w:val="TableParagraph"/>
              <w:spacing w:before="126"/>
              <w:ind w:left="6"/>
              <w:rPr>
                <w:sz w:val="18"/>
              </w:rPr>
            </w:pPr>
            <w:r>
              <w:rPr>
                <w:sz w:val="18"/>
              </w:rPr>
              <w:t>8.27***</w:t>
            </w:r>
          </w:p>
        </w:tc>
        <w:tc>
          <w:tcPr>
            <w:tcW w:w="1143" w:type="dxa"/>
          </w:tcPr>
          <w:p w:rsidR="00BF4029" w:rsidRDefault="00A24DEF">
            <w:pPr>
              <w:pStyle w:val="TableParagraph"/>
              <w:spacing w:before="126" w:line="207" w:lineRule="exact"/>
              <w:ind w:left="77" w:right="171"/>
              <w:jc w:val="center"/>
              <w:rPr>
                <w:sz w:val="18"/>
              </w:rPr>
            </w:pPr>
            <w:r>
              <w:rPr>
                <w:w w:val="105"/>
                <w:sz w:val="18"/>
              </w:rPr>
              <w:t>H1</w:t>
            </w:r>
          </w:p>
          <w:p w:rsidR="00BF4029" w:rsidRDefault="00A24DEF">
            <w:pPr>
              <w:pStyle w:val="TableParagraph"/>
              <w:spacing w:line="207" w:lineRule="exact"/>
              <w:ind w:left="77" w:right="175"/>
              <w:jc w:val="center"/>
              <w:rPr>
                <w:sz w:val="18"/>
              </w:rPr>
            </w:pPr>
            <w:r>
              <w:rPr>
                <w:w w:val="105"/>
                <w:sz w:val="18"/>
              </w:rPr>
              <w:t>supported</w:t>
            </w:r>
          </w:p>
        </w:tc>
      </w:tr>
      <w:tr w:rsidR="00BF4029">
        <w:trPr>
          <w:trHeight w:val="563"/>
        </w:trPr>
        <w:tc>
          <w:tcPr>
            <w:tcW w:w="4184" w:type="dxa"/>
            <w:tcBorders>
              <w:bottom w:val="single" w:sz="6" w:space="0" w:color="000000"/>
            </w:tcBorders>
          </w:tcPr>
          <w:p w:rsidR="00BF4029" w:rsidRDefault="00A24DEF">
            <w:pPr>
              <w:pStyle w:val="TableParagraph"/>
              <w:tabs>
                <w:tab w:val="left" w:pos="3257"/>
              </w:tabs>
              <w:spacing w:before="123"/>
              <w:ind w:left="112" w:right="287"/>
              <w:rPr>
                <w:sz w:val="18"/>
              </w:rPr>
            </w:pPr>
            <w:r>
              <w:rPr>
                <w:w w:val="105"/>
                <w:sz w:val="18"/>
              </w:rPr>
              <w:t>Leadership commitment</w:t>
            </w:r>
            <w:r>
              <w:rPr>
                <w:spacing w:val="-11"/>
                <w:w w:val="105"/>
                <w:sz w:val="18"/>
              </w:rPr>
              <w:t xml:space="preserve"> </w:t>
            </w:r>
            <w:r>
              <w:rPr>
                <w:w w:val="105"/>
                <w:sz w:val="18"/>
              </w:rPr>
              <w:t>to</w:t>
            </w:r>
            <w:r>
              <w:rPr>
                <w:spacing w:val="-4"/>
                <w:w w:val="105"/>
                <w:sz w:val="18"/>
              </w:rPr>
              <w:t xml:space="preserve"> </w:t>
            </w:r>
            <w:r>
              <w:rPr>
                <w:w w:val="105"/>
                <w:sz w:val="18"/>
              </w:rPr>
              <w:t>SQ</w:t>
            </w:r>
            <w:r>
              <w:rPr>
                <w:w w:val="105"/>
                <w:sz w:val="18"/>
              </w:rPr>
              <w:tab/>
            </w:r>
            <w:r>
              <w:rPr>
                <w:spacing w:val="-3"/>
                <w:w w:val="105"/>
                <w:sz w:val="18"/>
              </w:rPr>
              <w:t xml:space="preserve">Service </w:t>
            </w:r>
            <w:r>
              <w:rPr>
                <w:w w:val="105"/>
                <w:sz w:val="18"/>
              </w:rPr>
              <w:t>climate</w:t>
            </w:r>
          </w:p>
        </w:tc>
        <w:tc>
          <w:tcPr>
            <w:tcW w:w="1277" w:type="dxa"/>
            <w:tcBorders>
              <w:bottom w:val="single" w:sz="6" w:space="0" w:color="000000"/>
            </w:tcBorders>
          </w:tcPr>
          <w:p w:rsidR="00BF4029" w:rsidRDefault="00A24DEF">
            <w:pPr>
              <w:pStyle w:val="TableParagraph"/>
              <w:spacing w:before="123"/>
              <w:ind w:left="115"/>
              <w:rPr>
                <w:sz w:val="18"/>
              </w:rPr>
            </w:pPr>
            <w:r>
              <w:rPr>
                <w:w w:val="105"/>
                <w:sz w:val="18"/>
              </w:rPr>
              <w:t>0.29</w:t>
            </w:r>
          </w:p>
        </w:tc>
        <w:tc>
          <w:tcPr>
            <w:tcW w:w="754" w:type="dxa"/>
            <w:tcBorders>
              <w:bottom w:val="single" w:sz="6" w:space="0" w:color="000000"/>
            </w:tcBorders>
          </w:tcPr>
          <w:p w:rsidR="00BF4029" w:rsidRDefault="00A24DEF">
            <w:pPr>
              <w:pStyle w:val="TableParagraph"/>
              <w:spacing w:before="123"/>
              <w:ind w:left="6"/>
              <w:rPr>
                <w:sz w:val="18"/>
              </w:rPr>
            </w:pPr>
            <w:r>
              <w:rPr>
                <w:sz w:val="18"/>
              </w:rPr>
              <w:t>3.34***</w:t>
            </w:r>
          </w:p>
        </w:tc>
        <w:tc>
          <w:tcPr>
            <w:tcW w:w="1143" w:type="dxa"/>
            <w:tcBorders>
              <w:bottom w:val="single" w:sz="6" w:space="0" w:color="000000"/>
            </w:tcBorders>
          </w:tcPr>
          <w:p w:rsidR="00BF4029" w:rsidRDefault="00A24DEF">
            <w:pPr>
              <w:pStyle w:val="TableParagraph"/>
              <w:spacing w:before="123"/>
              <w:ind w:left="77" w:right="171"/>
              <w:jc w:val="center"/>
              <w:rPr>
                <w:sz w:val="18"/>
              </w:rPr>
            </w:pPr>
            <w:r>
              <w:rPr>
                <w:w w:val="105"/>
                <w:sz w:val="18"/>
              </w:rPr>
              <w:t>H2</w:t>
            </w:r>
          </w:p>
          <w:p w:rsidR="00BF4029" w:rsidRDefault="00A24DEF">
            <w:pPr>
              <w:pStyle w:val="TableParagraph"/>
              <w:spacing w:before="2"/>
              <w:ind w:left="77" w:right="175"/>
              <w:jc w:val="center"/>
              <w:rPr>
                <w:sz w:val="18"/>
              </w:rPr>
            </w:pPr>
            <w:r>
              <w:rPr>
                <w:w w:val="105"/>
                <w:sz w:val="18"/>
              </w:rPr>
              <w:t>supported</w:t>
            </w:r>
          </w:p>
        </w:tc>
      </w:tr>
      <w:tr w:rsidR="00BF4029">
        <w:trPr>
          <w:trHeight w:val="568"/>
        </w:trPr>
        <w:tc>
          <w:tcPr>
            <w:tcW w:w="4184" w:type="dxa"/>
            <w:tcBorders>
              <w:top w:val="single" w:sz="6" w:space="0" w:color="000000"/>
            </w:tcBorders>
          </w:tcPr>
          <w:p w:rsidR="00BF4029" w:rsidRDefault="00A24DEF">
            <w:pPr>
              <w:pStyle w:val="TableParagraph"/>
              <w:tabs>
                <w:tab w:val="left" w:pos="3257"/>
              </w:tabs>
              <w:spacing w:before="121"/>
              <w:ind w:left="112" w:right="287"/>
              <w:rPr>
                <w:sz w:val="18"/>
              </w:rPr>
            </w:pPr>
            <w:r>
              <w:rPr>
                <w:w w:val="105"/>
                <w:sz w:val="18"/>
              </w:rPr>
              <w:t>Service-oriented</w:t>
            </w:r>
            <w:r>
              <w:rPr>
                <w:spacing w:val="-6"/>
                <w:w w:val="105"/>
                <w:sz w:val="18"/>
              </w:rPr>
              <w:t xml:space="preserve"> </w:t>
            </w:r>
            <w:r>
              <w:rPr>
                <w:w w:val="105"/>
                <w:sz w:val="18"/>
              </w:rPr>
              <w:t>HR</w:t>
            </w:r>
            <w:r>
              <w:rPr>
                <w:spacing w:val="-4"/>
                <w:w w:val="105"/>
                <w:sz w:val="18"/>
              </w:rPr>
              <w:t xml:space="preserve"> </w:t>
            </w:r>
            <w:r>
              <w:rPr>
                <w:w w:val="105"/>
                <w:sz w:val="18"/>
              </w:rPr>
              <w:t>practices</w:t>
            </w:r>
            <w:r>
              <w:rPr>
                <w:w w:val="105"/>
                <w:sz w:val="18"/>
              </w:rPr>
              <w:tab/>
            </w:r>
            <w:r>
              <w:rPr>
                <w:spacing w:val="-3"/>
                <w:w w:val="105"/>
                <w:sz w:val="18"/>
              </w:rPr>
              <w:t xml:space="preserve">Service </w:t>
            </w:r>
            <w:r>
              <w:rPr>
                <w:w w:val="105"/>
                <w:sz w:val="18"/>
              </w:rPr>
              <w:t>climate</w:t>
            </w:r>
          </w:p>
        </w:tc>
        <w:tc>
          <w:tcPr>
            <w:tcW w:w="1277" w:type="dxa"/>
            <w:tcBorders>
              <w:top w:val="single" w:sz="6" w:space="0" w:color="000000"/>
            </w:tcBorders>
          </w:tcPr>
          <w:p w:rsidR="00BF4029" w:rsidRDefault="00A24DEF">
            <w:pPr>
              <w:pStyle w:val="TableParagraph"/>
              <w:spacing w:before="121"/>
              <w:ind w:left="115"/>
              <w:rPr>
                <w:sz w:val="18"/>
              </w:rPr>
            </w:pPr>
            <w:r>
              <w:rPr>
                <w:w w:val="105"/>
                <w:sz w:val="18"/>
              </w:rPr>
              <w:t>0.62</w:t>
            </w:r>
          </w:p>
        </w:tc>
        <w:tc>
          <w:tcPr>
            <w:tcW w:w="754" w:type="dxa"/>
            <w:tcBorders>
              <w:top w:val="single" w:sz="6" w:space="0" w:color="000000"/>
            </w:tcBorders>
          </w:tcPr>
          <w:p w:rsidR="00BF4029" w:rsidRDefault="00A24DEF">
            <w:pPr>
              <w:pStyle w:val="TableParagraph"/>
              <w:spacing w:before="121"/>
              <w:ind w:left="6"/>
              <w:rPr>
                <w:sz w:val="18"/>
              </w:rPr>
            </w:pPr>
            <w:r>
              <w:rPr>
                <w:sz w:val="18"/>
              </w:rPr>
              <w:t>6.31***</w:t>
            </w:r>
          </w:p>
        </w:tc>
        <w:tc>
          <w:tcPr>
            <w:tcW w:w="1143" w:type="dxa"/>
            <w:tcBorders>
              <w:top w:val="single" w:sz="6" w:space="0" w:color="000000"/>
            </w:tcBorders>
          </w:tcPr>
          <w:p w:rsidR="00BF4029" w:rsidRDefault="00A24DEF">
            <w:pPr>
              <w:pStyle w:val="TableParagraph"/>
              <w:spacing w:before="121" w:line="207" w:lineRule="exact"/>
              <w:ind w:left="77" w:right="171"/>
              <w:jc w:val="center"/>
              <w:rPr>
                <w:sz w:val="18"/>
              </w:rPr>
            </w:pPr>
            <w:r>
              <w:rPr>
                <w:w w:val="105"/>
                <w:sz w:val="18"/>
              </w:rPr>
              <w:t>H3</w:t>
            </w:r>
          </w:p>
          <w:p w:rsidR="00BF4029" w:rsidRDefault="00A24DEF">
            <w:pPr>
              <w:pStyle w:val="TableParagraph"/>
              <w:spacing w:line="207" w:lineRule="exact"/>
              <w:ind w:left="77" w:right="175"/>
              <w:jc w:val="center"/>
              <w:rPr>
                <w:sz w:val="18"/>
              </w:rPr>
            </w:pPr>
            <w:r>
              <w:rPr>
                <w:w w:val="105"/>
                <w:sz w:val="18"/>
              </w:rPr>
              <w:t>supported</w:t>
            </w:r>
          </w:p>
        </w:tc>
      </w:tr>
    </w:tbl>
    <w:p w:rsidR="00BF4029" w:rsidRDefault="00BF4029">
      <w:pPr>
        <w:pStyle w:val="BodyText"/>
        <w:spacing w:before="7"/>
        <w:rPr>
          <w:sz w:val="21"/>
        </w:rPr>
      </w:pPr>
    </w:p>
    <w:p w:rsidR="00BF4029" w:rsidRDefault="00D7301A">
      <w:pPr>
        <w:ind w:left="278" w:right="289"/>
        <w:jc w:val="center"/>
        <w:rPr>
          <w:i/>
          <w:sz w:val="18"/>
        </w:rPr>
      </w:pPr>
      <w:r>
        <w:rPr>
          <w:noProof/>
        </w:rPr>
        <mc:AlternateContent>
          <mc:Choice Requires="wpg">
            <w:drawing>
              <wp:anchor distT="0" distB="0" distL="114300" distR="114300" simplePos="0" relativeHeight="487000576" behindDoc="1" locked="0" layoutInCell="1" allowOverlap="1">
                <wp:simplePos x="0" y="0"/>
                <wp:positionH relativeFrom="page">
                  <wp:posOffset>2736850</wp:posOffset>
                </wp:positionH>
                <wp:positionV relativeFrom="paragraph">
                  <wp:posOffset>-740410</wp:posOffset>
                </wp:positionV>
                <wp:extent cx="311150" cy="70485"/>
                <wp:effectExtent l="0" t="0" r="0" b="0"/>
                <wp:wrapNone/>
                <wp:docPr id="9"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150" cy="70485"/>
                          <a:chOff x="4310" y="-1166"/>
                          <a:chExt cx="490" cy="111"/>
                        </a:xfrm>
                      </wpg:grpSpPr>
                      <wps:wsp>
                        <wps:cNvPr id="10" name="Freeform 7"/>
                        <wps:cNvSpPr>
                          <a:spLocks/>
                        </wps:cNvSpPr>
                        <wps:spPr bwMode="auto">
                          <a:xfrm>
                            <a:off x="4330" y="-1146"/>
                            <a:ext cx="450" cy="71"/>
                          </a:xfrm>
                          <a:custGeom>
                            <a:avLst/>
                            <a:gdLst>
                              <a:gd name="T0" fmla="+- 0 4744 4330"/>
                              <a:gd name="T1" fmla="*/ T0 w 450"/>
                              <a:gd name="T2" fmla="+- 0 -1146 -1146"/>
                              <a:gd name="T3" fmla="*/ -1146 h 71"/>
                              <a:gd name="T4" fmla="+- 0 4744 4330"/>
                              <a:gd name="T5" fmla="*/ T4 w 450"/>
                              <a:gd name="T6" fmla="+- 0 -1128 -1146"/>
                              <a:gd name="T7" fmla="*/ -1128 h 71"/>
                              <a:gd name="T8" fmla="+- 0 4330 4330"/>
                              <a:gd name="T9" fmla="*/ T8 w 450"/>
                              <a:gd name="T10" fmla="+- 0 -1128 -1146"/>
                              <a:gd name="T11" fmla="*/ -1128 h 71"/>
                              <a:gd name="T12" fmla="+- 0 4330 4330"/>
                              <a:gd name="T13" fmla="*/ T12 w 450"/>
                              <a:gd name="T14" fmla="+- 0 -1092 -1146"/>
                              <a:gd name="T15" fmla="*/ -1092 h 71"/>
                              <a:gd name="T16" fmla="+- 0 4744 4330"/>
                              <a:gd name="T17" fmla="*/ T16 w 450"/>
                              <a:gd name="T18" fmla="+- 0 -1092 -1146"/>
                              <a:gd name="T19" fmla="*/ -1092 h 71"/>
                              <a:gd name="T20" fmla="+- 0 4744 4330"/>
                              <a:gd name="T21" fmla="*/ T20 w 450"/>
                              <a:gd name="T22" fmla="+- 0 -1075 -1146"/>
                              <a:gd name="T23" fmla="*/ -1075 h 71"/>
                              <a:gd name="T24" fmla="+- 0 4780 4330"/>
                              <a:gd name="T25" fmla="*/ T24 w 450"/>
                              <a:gd name="T26" fmla="+- 0 -1110 -1146"/>
                              <a:gd name="T27" fmla="*/ -1110 h 71"/>
                              <a:gd name="T28" fmla="+- 0 4744 4330"/>
                              <a:gd name="T29" fmla="*/ T28 w 450"/>
                              <a:gd name="T30" fmla="+- 0 -1146 -1146"/>
                              <a:gd name="T31" fmla="*/ -1146 h 7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50" h="71">
                                <a:moveTo>
                                  <a:pt x="414" y="0"/>
                                </a:moveTo>
                                <a:lnTo>
                                  <a:pt x="414" y="18"/>
                                </a:lnTo>
                                <a:lnTo>
                                  <a:pt x="0" y="18"/>
                                </a:lnTo>
                                <a:lnTo>
                                  <a:pt x="0" y="54"/>
                                </a:lnTo>
                                <a:lnTo>
                                  <a:pt x="414" y="54"/>
                                </a:lnTo>
                                <a:lnTo>
                                  <a:pt x="414" y="71"/>
                                </a:lnTo>
                                <a:lnTo>
                                  <a:pt x="450" y="36"/>
                                </a:lnTo>
                                <a:lnTo>
                                  <a:pt x="4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6"/>
                        <wps:cNvSpPr>
                          <a:spLocks/>
                        </wps:cNvSpPr>
                        <wps:spPr bwMode="auto">
                          <a:xfrm>
                            <a:off x="4330" y="-1146"/>
                            <a:ext cx="450" cy="71"/>
                          </a:xfrm>
                          <a:custGeom>
                            <a:avLst/>
                            <a:gdLst>
                              <a:gd name="T0" fmla="+- 0 4330 4330"/>
                              <a:gd name="T1" fmla="*/ T0 w 450"/>
                              <a:gd name="T2" fmla="+- 0 -1128 -1146"/>
                              <a:gd name="T3" fmla="*/ -1128 h 71"/>
                              <a:gd name="T4" fmla="+- 0 4744 4330"/>
                              <a:gd name="T5" fmla="*/ T4 w 450"/>
                              <a:gd name="T6" fmla="+- 0 -1128 -1146"/>
                              <a:gd name="T7" fmla="*/ -1128 h 71"/>
                              <a:gd name="T8" fmla="+- 0 4744 4330"/>
                              <a:gd name="T9" fmla="*/ T8 w 450"/>
                              <a:gd name="T10" fmla="+- 0 -1146 -1146"/>
                              <a:gd name="T11" fmla="*/ -1146 h 71"/>
                              <a:gd name="T12" fmla="+- 0 4780 4330"/>
                              <a:gd name="T13" fmla="*/ T12 w 450"/>
                              <a:gd name="T14" fmla="+- 0 -1110 -1146"/>
                              <a:gd name="T15" fmla="*/ -1110 h 71"/>
                              <a:gd name="T16" fmla="+- 0 4744 4330"/>
                              <a:gd name="T17" fmla="*/ T16 w 450"/>
                              <a:gd name="T18" fmla="+- 0 -1075 -1146"/>
                              <a:gd name="T19" fmla="*/ -1075 h 71"/>
                              <a:gd name="T20" fmla="+- 0 4744 4330"/>
                              <a:gd name="T21" fmla="*/ T20 w 450"/>
                              <a:gd name="T22" fmla="+- 0 -1092 -1146"/>
                              <a:gd name="T23" fmla="*/ -1092 h 71"/>
                              <a:gd name="T24" fmla="+- 0 4330 4330"/>
                              <a:gd name="T25" fmla="*/ T24 w 450"/>
                              <a:gd name="T26" fmla="+- 0 -1092 -1146"/>
                              <a:gd name="T27" fmla="*/ -1092 h 71"/>
                              <a:gd name="T28" fmla="+- 0 4330 4330"/>
                              <a:gd name="T29" fmla="*/ T28 w 450"/>
                              <a:gd name="T30" fmla="+- 0 -1128 -1146"/>
                              <a:gd name="T31" fmla="*/ -1128 h 7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50" h="71">
                                <a:moveTo>
                                  <a:pt x="0" y="18"/>
                                </a:moveTo>
                                <a:lnTo>
                                  <a:pt x="414" y="18"/>
                                </a:lnTo>
                                <a:lnTo>
                                  <a:pt x="414" y="0"/>
                                </a:lnTo>
                                <a:lnTo>
                                  <a:pt x="450" y="36"/>
                                </a:lnTo>
                                <a:lnTo>
                                  <a:pt x="414" y="71"/>
                                </a:lnTo>
                                <a:lnTo>
                                  <a:pt x="414" y="54"/>
                                </a:lnTo>
                                <a:lnTo>
                                  <a:pt x="0" y="54"/>
                                </a:lnTo>
                                <a:lnTo>
                                  <a:pt x="0" y="18"/>
                                </a:lnTo>
                                <a:close/>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margin-left:215.5pt;margin-top:-58.3pt;width:24.5pt;height:5.55pt;z-index:-16315904;mso-position-horizontal-relative:page" coordorigin="4310,-1166" coordsize="490,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">
                <v:shape id="Freeform 7" o:spid="_x0000_s1027" style="position:absolute;left:4330;top:-1146;width:450;height:71;visibility:visible;mso-wrap-style:square;v-text-anchor:top" coordsize="450,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2sWsUA&#10;AADbAAAADwAAAGRycy9kb3ducmV2LnhtbESPQWvCQBCF74L/YZlCb3XTFlqJrlKlFVEQtD14HLJj&#10;EpqdDbtbTfrrnYPgbYb35r1vpvPONepMIdaeDTyPMlDEhbc1lwZ+vr+exqBiQrbYeCYDPUWYz4aD&#10;KebWX3hP50MqlYRwzNFAlVKbax2LihzGkW+JRTv54DDJGkptA14k3DX6JcvetMOapaHClpYVFb+H&#10;P2fguPs8bV9b3vy/945Xi1C7ZtEb8/jQfUxAJerS3Xy7XlvBF3r5RQbQs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faxaxQAAANsAAAAPAAAAAAAAAAAAAAAAAJgCAABkcnMv&#10;ZG93bnJldi54bWxQSwUGAAAAAAQABAD1AAAAigMAAAAA&#10;" path="m414,r,18l,18,,54r414,l414,71,450,36,414,xe" fillcolor="black" stroked="f">
                  <v:path arrowok="t" o:connecttype="custom" o:connectlocs="414,-1146;414,-1128;0,-1128;0,-1092;414,-1092;414,-1075;450,-1110;414,-1146" o:connectangles="0,0,0,0,0,0,0,0"/>
                </v:shape>
                <v:shape id="Freeform 6" o:spid="_x0000_s1028" style="position:absolute;left:4330;top:-1146;width:450;height:71;visibility:visible;mso-wrap-style:square;v-text-anchor:top" coordsize="450,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Ya18AA&#10;AADbAAAADwAAAGRycy9kb3ducmV2LnhtbERP24rCMBB9F/Yfwgj7ImvqgqVUo2hB8dHLfsDQjE2x&#10;mXSbWOvfG2Fh3+ZwrrNcD7YRPXW+dqxgNk1AEJdO11wp+LnsvjIQPiBrbByTgid5WK8+RkvMtXvw&#10;ifpzqEQMYZ+jAhNCm0vpS0MW/dS1xJG7us5iiLCrpO7wEcNtI7+TJJUWa44NBlsqDJW3890qGPpT&#10;uv3dFHxM5/3e7LL6PmkKpT7Hw2YBItAQ/sV/7oOO82fw/i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kYa18AAAADbAAAADwAAAAAAAAAAAAAAAACYAgAAZHJzL2Rvd25y&#10;ZXYueG1sUEsFBgAAAAAEAAQA9QAAAIUDAAAAAA==&#10;" path="m,18r414,l414,r36,36l414,71r,-17l,54,,18xe" filled="f" strokeweight="2pt">
                  <v:path arrowok="t" o:connecttype="custom" o:connectlocs="0,-1128;414,-1128;414,-1146;450,-1110;414,-1075;414,-1092;0,-1092;0,-1128" o:connectangles="0,0,0,0,0,0,0,0"/>
                </v:shape>
                <w10:wrap anchorx="page"/>
              </v:group>
            </w:pict>
          </mc:Fallback>
        </mc:AlternateContent>
      </w:r>
      <w:r>
        <w:rPr>
          <w:noProof/>
        </w:rPr>
        <mc:AlternateContent>
          <mc:Choice Requires="wpg">
            <w:drawing>
              <wp:anchor distT="0" distB="0" distL="114300" distR="114300" simplePos="0" relativeHeight="487001088" behindDoc="1" locked="0" layoutInCell="1" allowOverlap="1">
                <wp:simplePos x="0" y="0"/>
                <wp:positionH relativeFrom="page">
                  <wp:posOffset>2696845</wp:posOffset>
                </wp:positionH>
                <wp:positionV relativeFrom="paragraph">
                  <wp:posOffset>-398780</wp:posOffset>
                </wp:positionV>
                <wp:extent cx="350520" cy="70485"/>
                <wp:effectExtent l="0" t="0" r="0" b="0"/>
                <wp:wrapNone/>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0520" cy="70485"/>
                          <a:chOff x="4247" y="-628"/>
                          <a:chExt cx="552" cy="111"/>
                        </a:xfrm>
                      </wpg:grpSpPr>
                      <wps:wsp>
                        <wps:cNvPr id="7" name="Freeform 4"/>
                        <wps:cNvSpPr>
                          <a:spLocks/>
                        </wps:cNvSpPr>
                        <wps:spPr bwMode="auto">
                          <a:xfrm>
                            <a:off x="4267" y="-608"/>
                            <a:ext cx="512" cy="71"/>
                          </a:xfrm>
                          <a:custGeom>
                            <a:avLst/>
                            <a:gdLst>
                              <a:gd name="T0" fmla="+- 0 4743 4267"/>
                              <a:gd name="T1" fmla="*/ T0 w 512"/>
                              <a:gd name="T2" fmla="+- 0 -608 -608"/>
                              <a:gd name="T3" fmla="*/ -608 h 71"/>
                              <a:gd name="T4" fmla="+- 0 4743 4267"/>
                              <a:gd name="T5" fmla="*/ T4 w 512"/>
                              <a:gd name="T6" fmla="+- 0 -590 -608"/>
                              <a:gd name="T7" fmla="*/ -590 h 71"/>
                              <a:gd name="T8" fmla="+- 0 4267 4267"/>
                              <a:gd name="T9" fmla="*/ T8 w 512"/>
                              <a:gd name="T10" fmla="+- 0 -590 -608"/>
                              <a:gd name="T11" fmla="*/ -590 h 71"/>
                              <a:gd name="T12" fmla="+- 0 4267 4267"/>
                              <a:gd name="T13" fmla="*/ T12 w 512"/>
                              <a:gd name="T14" fmla="+- 0 -554 -608"/>
                              <a:gd name="T15" fmla="*/ -554 h 71"/>
                              <a:gd name="T16" fmla="+- 0 4743 4267"/>
                              <a:gd name="T17" fmla="*/ T16 w 512"/>
                              <a:gd name="T18" fmla="+- 0 -554 -608"/>
                              <a:gd name="T19" fmla="*/ -554 h 71"/>
                              <a:gd name="T20" fmla="+- 0 4743 4267"/>
                              <a:gd name="T21" fmla="*/ T20 w 512"/>
                              <a:gd name="T22" fmla="+- 0 -537 -608"/>
                              <a:gd name="T23" fmla="*/ -537 h 71"/>
                              <a:gd name="T24" fmla="+- 0 4779 4267"/>
                              <a:gd name="T25" fmla="*/ T24 w 512"/>
                              <a:gd name="T26" fmla="+- 0 -572 -608"/>
                              <a:gd name="T27" fmla="*/ -572 h 71"/>
                              <a:gd name="T28" fmla="+- 0 4743 4267"/>
                              <a:gd name="T29" fmla="*/ T28 w 512"/>
                              <a:gd name="T30" fmla="+- 0 -608 -608"/>
                              <a:gd name="T31" fmla="*/ -608 h 7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12" h="71">
                                <a:moveTo>
                                  <a:pt x="476" y="0"/>
                                </a:moveTo>
                                <a:lnTo>
                                  <a:pt x="476" y="18"/>
                                </a:lnTo>
                                <a:lnTo>
                                  <a:pt x="0" y="18"/>
                                </a:lnTo>
                                <a:lnTo>
                                  <a:pt x="0" y="54"/>
                                </a:lnTo>
                                <a:lnTo>
                                  <a:pt x="476" y="54"/>
                                </a:lnTo>
                                <a:lnTo>
                                  <a:pt x="476" y="71"/>
                                </a:lnTo>
                                <a:lnTo>
                                  <a:pt x="512" y="36"/>
                                </a:lnTo>
                                <a:lnTo>
                                  <a:pt x="4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
                        <wps:cNvSpPr>
                          <a:spLocks/>
                        </wps:cNvSpPr>
                        <wps:spPr bwMode="auto">
                          <a:xfrm>
                            <a:off x="4267" y="-608"/>
                            <a:ext cx="512" cy="71"/>
                          </a:xfrm>
                          <a:custGeom>
                            <a:avLst/>
                            <a:gdLst>
                              <a:gd name="T0" fmla="+- 0 4267 4267"/>
                              <a:gd name="T1" fmla="*/ T0 w 512"/>
                              <a:gd name="T2" fmla="+- 0 -590 -608"/>
                              <a:gd name="T3" fmla="*/ -590 h 71"/>
                              <a:gd name="T4" fmla="+- 0 4743 4267"/>
                              <a:gd name="T5" fmla="*/ T4 w 512"/>
                              <a:gd name="T6" fmla="+- 0 -590 -608"/>
                              <a:gd name="T7" fmla="*/ -590 h 71"/>
                              <a:gd name="T8" fmla="+- 0 4743 4267"/>
                              <a:gd name="T9" fmla="*/ T8 w 512"/>
                              <a:gd name="T10" fmla="+- 0 -608 -608"/>
                              <a:gd name="T11" fmla="*/ -608 h 71"/>
                              <a:gd name="T12" fmla="+- 0 4779 4267"/>
                              <a:gd name="T13" fmla="*/ T12 w 512"/>
                              <a:gd name="T14" fmla="+- 0 -572 -608"/>
                              <a:gd name="T15" fmla="*/ -572 h 71"/>
                              <a:gd name="T16" fmla="+- 0 4743 4267"/>
                              <a:gd name="T17" fmla="*/ T16 w 512"/>
                              <a:gd name="T18" fmla="+- 0 -537 -608"/>
                              <a:gd name="T19" fmla="*/ -537 h 71"/>
                              <a:gd name="T20" fmla="+- 0 4743 4267"/>
                              <a:gd name="T21" fmla="*/ T20 w 512"/>
                              <a:gd name="T22" fmla="+- 0 -554 -608"/>
                              <a:gd name="T23" fmla="*/ -554 h 71"/>
                              <a:gd name="T24" fmla="+- 0 4267 4267"/>
                              <a:gd name="T25" fmla="*/ T24 w 512"/>
                              <a:gd name="T26" fmla="+- 0 -554 -608"/>
                              <a:gd name="T27" fmla="*/ -554 h 71"/>
                              <a:gd name="T28" fmla="+- 0 4267 4267"/>
                              <a:gd name="T29" fmla="*/ T28 w 512"/>
                              <a:gd name="T30" fmla="+- 0 -590 -608"/>
                              <a:gd name="T31" fmla="*/ -590 h 7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12" h="71">
                                <a:moveTo>
                                  <a:pt x="0" y="18"/>
                                </a:moveTo>
                                <a:lnTo>
                                  <a:pt x="476" y="18"/>
                                </a:lnTo>
                                <a:lnTo>
                                  <a:pt x="476" y="0"/>
                                </a:lnTo>
                                <a:lnTo>
                                  <a:pt x="512" y="36"/>
                                </a:lnTo>
                                <a:lnTo>
                                  <a:pt x="476" y="71"/>
                                </a:lnTo>
                                <a:lnTo>
                                  <a:pt x="476" y="54"/>
                                </a:lnTo>
                                <a:lnTo>
                                  <a:pt x="0" y="54"/>
                                </a:lnTo>
                                <a:lnTo>
                                  <a:pt x="0" y="18"/>
                                </a:lnTo>
                                <a:close/>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212.35pt;margin-top:-31.4pt;width:27.6pt;height:5.55pt;z-index:-16315392;mso-position-horizontal-relative:page" coordorigin="4247,-628" coordsize="552,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">
                <v:shape id="Freeform 4" o:spid="_x0000_s1027" style="position:absolute;left:4267;top:-608;width:512;height:71;visibility:visible;mso-wrap-style:square;v-text-anchor:top" coordsize="51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6fPMAA&#10;AADaAAAADwAAAGRycy9kb3ducmV2LnhtbESPQYvCMBSE74L/ITzBm6Z60KVrLItFFE/bKuz10Tzb&#10;ss1LaWJb/71ZEPY4zMw3zC4ZTSN66lxtWcFqGYEgLqyuuVRwux4XHyCcR9bYWCYFT3KQ7KeTHcba&#10;DpxRn/tSBAi7GBVU3rexlK6oyKBb2pY4eHfbGfRBdqXUHQ4Bbhq5jqKNNFhzWKiwpUNFxW/+MAqc&#10;0Zz7/NSX6U92d0YOWXr5Vmo+G78+QXga/X/43T5rBVv4uxJugN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T6fPMAAAADaAAAADwAAAAAAAAAAAAAAAACYAgAAZHJzL2Rvd25y&#10;ZXYueG1sUEsFBgAAAAAEAAQA9QAAAIUDAAAAAA==&#10;" path="m476,r,18l,18,,54r476,l476,71,512,36,476,xe" fillcolor="black" stroked="f">
                  <v:path arrowok="t" o:connecttype="custom" o:connectlocs="476,-608;476,-590;0,-590;0,-554;476,-554;476,-537;512,-572;476,-608" o:connectangles="0,0,0,0,0,0,0,0"/>
                </v:shape>
                <v:shape id="Freeform 3" o:spid="_x0000_s1028" style="position:absolute;left:4267;top:-608;width:512;height:71;visibility:visible;mso-wrap-style:square;v-text-anchor:top" coordsize="51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XNm8EA&#10;AADaAAAADwAAAGRycy9kb3ducmV2LnhtbERPu2rDMBTdA/kHcQPdEjkplOBGMY1JaZcOeUDwdrFu&#10;LdfWlZHUxO3XV0Mh4+G8N8Voe3ElH1rHCpaLDARx7XTLjYLz6XW+BhEissbeMSn4oQDFdjrZYK7d&#10;jQ90PcZGpBAOOSowMQ65lKE2ZDEs3ECcuE/nLcYEfSO1x1sKt71cZdmTtNhyajA4UGmo7o7fVsFX&#10;t7uUj37/ZqgLv9nHWFXnQ6XUw2x8eQYRaYx38b/7XStIW9OVdAPk9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NlzZvBAAAA2gAAAA8AAAAAAAAAAAAAAAAAmAIAAGRycy9kb3du&#10;cmV2LnhtbFBLBQYAAAAABAAEAPUAAACGAwAAAAA=&#10;" path="m,18r476,l476,r36,36l476,71r,-17l,54,,18xe" filled="f" strokeweight="2pt">
                  <v:path arrowok="t" o:connecttype="custom" o:connectlocs="0,-590;476,-590;476,-608;512,-572;476,-537;476,-554;0,-554;0,-590" o:connectangles="0,0,0,0,0,0,0,0"/>
                </v:shape>
                <w10:wrap anchorx="page"/>
              </v:group>
            </w:pict>
          </mc:Fallback>
        </mc:AlternateContent>
      </w:r>
      <w:r w:rsidR="00A24DEF">
        <w:rPr>
          <w:i/>
          <w:sz w:val="18"/>
        </w:rPr>
        <w:t>*** p &lt;</w:t>
      </w:r>
      <w:r w:rsidR="00A24DEF">
        <w:rPr>
          <w:i/>
          <w:sz w:val="18"/>
        </w:rPr>
        <w:t xml:space="preserve"> 0.001 (two-tailed)</w:t>
      </w:r>
    </w:p>
    <w:p w:rsidR="00BF4029" w:rsidRDefault="00BF4029">
      <w:pPr>
        <w:pStyle w:val="BodyText"/>
        <w:spacing w:before="2"/>
        <w:rPr>
          <w:i/>
        </w:rPr>
      </w:pPr>
    </w:p>
    <w:p w:rsidR="00BF4029" w:rsidRDefault="00A24DEF">
      <w:pPr>
        <w:pStyle w:val="BodyText"/>
        <w:ind w:left="104" w:right="117"/>
        <w:jc w:val="both"/>
      </w:pPr>
      <w:r>
        <w:t>To test the moderating effect of competitive intensity, we centered all predictor and moderator</w:t>
      </w:r>
      <w:r>
        <w:rPr>
          <w:spacing w:val="-6"/>
        </w:rPr>
        <w:t xml:space="preserve"> </w:t>
      </w:r>
      <w:r>
        <w:t>variables</w:t>
      </w:r>
      <w:r>
        <w:rPr>
          <w:spacing w:val="-5"/>
        </w:rPr>
        <w:t xml:space="preserve"> </w:t>
      </w:r>
      <w:r>
        <w:t>by</w:t>
      </w:r>
      <w:r>
        <w:rPr>
          <w:spacing w:val="-7"/>
        </w:rPr>
        <w:t xml:space="preserve"> </w:t>
      </w:r>
      <w:r>
        <w:t>standardizing</w:t>
      </w:r>
      <w:r>
        <w:rPr>
          <w:spacing w:val="-4"/>
        </w:rPr>
        <w:t xml:space="preserve"> </w:t>
      </w:r>
      <w:r>
        <w:t>each</w:t>
      </w:r>
      <w:r>
        <w:rPr>
          <w:spacing w:val="-5"/>
        </w:rPr>
        <w:t xml:space="preserve"> </w:t>
      </w:r>
      <w:r>
        <w:t>variable</w:t>
      </w:r>
      <w:r>
        <w:rPr>
          <w:spacing w:val="-5"/>
        </w:rPr>
        <w:t xml:space="preserve"> </w:t>
      </w:r>
      <w:r>
        <w:t>at</w:t>
      </w:r>
      <w:r>
        <w:rPr>
          <w:spacing w:val="-4"/>
        </w:rPr>
        <w:t xml:space="preserve"> </w:t>
      </w:r>
      <w:r>
        <w:t>a</w:t>
      </w:r>
      <w:r>
        <w:rPr>
          <w:spacing w:val="-5"/>
        </w:rPr>
        <w:t xml:space="preserve"> </w:t>
      </w:r>
      <w:r>
        <w:t>mean</w:t>
      </w:r>
      <w:r>
        <w:rPr>
          <w:spacing w:val="-6"/>
        </w:rPr>
        <w:t xml:space="preserve"> </w:t>
      </w:r>
      <w:r>
        <w:t>of</w:t>
      </w:r>
      <w:r>
        <w:rPr>
          <w:spacing w:val="-2"/>
        </w:rPr>
        <w:t xml:space="preserve"> </w:t>
      </w:r>
      <w:r>
        <w:t>zero</w:t>
      </w:r>
      <w:r>
        <w:rPr>
          <w:spacing w:val="-5"/>
        </w:rPr>
        <w:t xml:space="preserve"> </w:t>
      </w:r>
      <w:r>
        <w:t>and</w:t>
      </w:r>
      <w:r>
        <w:rPr>
          <w:spacing w:val="-8"/>
        </w:rPr>
        <w:t xml:space="preserve"> </w:t>
      </w:r>
      <w:r>
        <w:t>standard deviation of 1 (Aiken &amp;</w:t>
      </w:r>
      <w:r>
        <w:t xml:space="preserve"> West, 1991). Table 5 shows a significant moderating effect of competitive intensity on the service-oriented HR practices – service climate relationship</w:t>
      </w:r>
      <w:r>
        <w:rPr>
          <w:spacing w:val="-9"/>
        </w:rPr>
        <w:t xml:space="preserve"> </w:t>
      </w:r>
      <w:r>
        <w:t>(ß</w:t>
      </w:r>
      <w:r>
        <w:rPr>
          <w:spacing w:val="-13"/>
        </w:rPr>
        <w:t xml:space="preserve"> </w:t>
      </w:r>
      <w:r>
        <w:t>=</w:t>
      </w:r>
      <w:r>
        <w:rPr>
          <w:spacing w:val="-8"/>
        </w:rPr>
        <w:t xml:space="preserve"> </w:t>
      </w:r>
      <w:r>
        <w:t>-0.11,</w:t>
      </w:r>
      <w:r>
        <w:rPr>
          <w:spacing w:val="-9"/>
        </w:rPr>
        <w:t xml:space="preserve"> </w:t>
      </w:r>
      <w:r>
        <w:t>p</w:t>
      </w:r>
      <w:r>
        <w:rPr>
          <w:spacing w:val="-13"/>
        </w:rPr>
        <w:t xml:space="preserve"> </w:t>
      </w:r>
      <w:r>
        <w:t>&lt;</w:t>
      </w:r>
      <w:r>
        <w:rPr>
          <w:spacing w:val="-8"/>
        </w:rPr>
        <w:t xml:space="preserve"> </w:t>
      </w:r>
      <w:r>
        <w:t>0.05).</w:t>
      </w:r>
      <w:r>
        <w:rPr>
          <w:spacing w:val="-11"/>
        </w:rPr>
        <w:t xml:space="preserve"> </w:t>
      </w:r>
      <w:r>
        <w:t>Thus</w:t>
      </w:r>
      <w:r>
        <w:rPr>
          <w:spacing w:val="-10"/>
        </w:rPr>
        <w:t xml:space="preserve"> </w:t>
      </w:r>
      <w:r>
        <w:t>the</w:t>
      </w:r>
      <w:r>
        <w:rPr>
          <w:spacing w:val="-11"/>
        </w:rPr>
        <w:t xml:space="preserve"> </w:t>
      </w:r>
      <w:r>
        <w:t>result</w:t>
      </w:r>
      <w:r>
        <w:rPr>
          <w:spacing w:val="-9"/>
        </w:rPr>
        <w:t xml:space="preserve"> </w:t>
      </w:r>
      <w:r>
        <w:t>supports</w:t>
      </w:r>
      <w:r>
        <w:rPr>
          <w:spacing w:val="-10"/>
        </w:rPr>
        <w:t xml:space="preserve"> </w:t>
      </w:r>
      <w:r>
        <w:t>Hypothesis</w:t>
      </w:r>
      <w:r>
        <w:rPr>
          <w:spacing w:val="-8"/>
        </w:rPr>
        <w:t xml:space="preserve"> </w:t>
      </w:r>
      <w:r>
        <w:t>4.</w:t>
      </w:r>
      <w:r>
        <w:rPr>
          <w:spacing w:val="-11"/>
        </w:rPr>
        <w:t xml:space="preserve"> </w:t>
      </w:r>
      <w:r>
        <w:t>That</w:t>
      </w:r>
      <w:r>
        <w:rPr>
          <w:spacing w:val="-7"/>
        </w:rPr>
        <w:t xml:space="preserve"> </w:t>
      </w:r>
      <w:r>
        <w:t>is,</w:t>
      </w:r>
      <w:r>
        <w:rPr>
          <w:spacing w:val="-9"/>
        </w:rPr>
        <w:t xml:space="preserve"> </w:t>
      </w:r>
      <w:r>
        <w:t>the positive influence of servic</w:t>
      </w:r>
      <w:r>
        <w:t>e-oriented HR practices on service climate weakens as competitive</w:t>
      </w:r>
      <w:r>
        <w:rPr>
          <w:spacing w:val="-13"/>
        </w:rPr>
        <w:t xml:space="preserve"> </w:t>
      </w:r>
      <w:r>
        <w:t>intensity</w:t>
      </w:r>
      <w:r>
        <w:rPr>
          <w:spacing w:val="-15"/>
        </w:rPr>
        <w:t xml:space="preserve"> </w:t>
      </w:r>
      <w:r>
        <w:t>in</w:t>
      </w:r>
      <w:r>
        <w:rPr>
          <w:spacing w:val="-13"/>
        </w:rPr>
        <w:t xml:space="preserve"> </w:t>
      </w:r>
      <w:r>
        <w:t>tourist</w:t>
      </w:r>
      <w:r>
        <w:rPr>
          <w:spacing w:val="-12"/>
        </w:rPr>
        <w:t xml:space="preserve"> </w:t>
      </w:r>
      <w:r>
        <w:t>hotel</w:t>
      </w:r>
      <w:r>
        <w:rPr>
          <w:spacing w:val="-14"/>
        </w:rPr>
        <w:t xml:space="preserve"> </w:t>
      </w:r>
      <w:r>
        <w:t>industry</w:t>
      </w:r>
      <w:r>
        <w:rPr>
          <w:spacing w:val="-16"/>
        </w:rPr>
        <w:t xml:space="preserve"> </w:t>
      </w:r>
      <w:r>
        <w:t>increases.</w:t>
      </w:r>
      <w:r>
        <w:rPr>
          <w:spacing w:val="-12"/>
        </w:rPr>
        <w:t xml:space="preserve"> </w:t>
      </w:r>
      <w:r>
        <w:t>Figure</w:t>
      </w:r>
      <w:r>
        <w:rPr>
          <w:spacing w:val="-14"/>
        </w:rPr>
        <w:t xml:space="preserve"> </w:t>
      </w:r>
      <w:r>
        <w:t>2</w:t>
      </w:r>
      <w:r>
        <w:rPr>
          <w:spacing w:val="-16"/>
        </w:rPr>
        <w:t xml:space="preserve"> </w:t>
      </w:r>
      <w:r>
        <w:t>shows</w:t>
      </w:r>
      <w:r>
        <w:rPr>
          <w:spacing w:val="-12"/>
        </w:rPr>
        <w:t xml:space="preserve"> </w:t>
      </w:r>
      <w:r>
        <w:t>the</w:t>
      </w:r>
      <w:r>
        <w:rPr>
          <w:spacing w:val="-16"/>
        </w:rPr>
        <w:t xml:space="preserve"> </w:t>
      </w:r>
      <w:r>
        <w:t>graphical presentations of the moderating effect of competitive intensity on the relationship between service-oriented HR pr</w:t>
      </w:r>
      <w:r>
        <w:t>actices and service</w:t>
      </w:r>
      <w:r>
        <w:rPr>
          <w:spacing w:val="-5"/>
        </w:rPr>
        <w:t xml:space="preserve"> </w:t>
      </w:r>
      <w:r>
        <w:t>climate.</w:t>
      </w:r>
    </w:p>
    <w:p w:rsidR="00BF4029" w:rsidRDefault="00BF4029">
      <w:pPr>
        <w:pStyle w:val="BodyText"/>
        <w:spacing w:before="8"/>
        <w:rPr>
          <w:sz w:val="21"/>
        </w:rPr>
      </w:pPr>
    </w:p>
    <w:p w:rsidR="00BF4029" w:rsidRDefault="00A24DEF">
      <w:pPr>
        <w:ind w:left="825"/>
        <w:rPr>
          <w:sz w:val="18"/>
        </w:rPr>
      </w:pPr>
      <w:r>
        <w:rPr>
          <w:b/>
          <w:sz w:val="18"/>
        </w:rPr>
        <w:t xml:space="preserve">Table 5. </w:t>
      </w:r>
      <w:r>
        <w:rPr>
          <w:sz w:val="18"/>
        </w:rPr>
        <w:t>Moderating effects of competitive intensity</w:t>
      </w:r>
    </w:p>
    <w:p w:rsidR="00BF4029" w:rsidRDefault="00BF4029">
      <w:pPr>
        <w:pStyle w:val="BodyText"/>
        <w:spacing w:before="4"/>
      </w:pPr>
    </w:p>
    <w:tbl>
      <w:tblPr>
        <w:tblW w:w="0" w:type="auto"/>
        <w:tblInd w:w="10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1"/>
        <w:gridCol w:w="1080"/>
        <w:gridCol w:w="565"/>
        <w:gridCol w:w="1028"/>
      </w:tblGrid>
      <w:tr w:rsidR="00BF4029">
        <w:trPr>
          <w:trHeight w:val="959"/>
        </w:trPr>
        <w:tc>
          <w:tcPr>
            <w:tcW w:w="4391" w:type="dxa"/>
          </w:tcPr>
          <w:p w:rsidR="00BF4029" w:rsidRDefault="00BF4029">
            <w:pPr>
              <w:pStyle w:val="TableParagraph"/>
              <w:ind w:left="0"/>
              <w:rPr>
                <w:rFonts w:ascii="Times New Roman"/>
                <w:sz w:val="20"/>
              </w:rPr>
            </w:pPr>
          </w:p>
        </w:tc>
        <w:tc>
          <w:tcPr>
            <w:tcW w:w="1080" w:type="dxa"/>
          </w:tcPr>
          <w:p w:rsidR="00BF4029" w:rsidRDefault="00A24DEF">
            <w:pPr>
              <w:pStyle w:val="TableParagraph"/>
              <w:ind w:right="315"/>
              <w:rPr>
                <w:b/>
                <w:sz w:val="18"/>
              </w:rPr>
            </w:pPr>
            <w:r>
              <w:rPr>
                <w:b/>
                <w:sz w:val="18"/>
              </w:rPr>
              <w:t>Path estimate</w:t>
            </w:r>
          </w:p>
        </w:tc>
        <w:tc>
          <w:tcPr>
            <w:tcW w:w="565" w:type="dxa"/>
          </w:tcPr>
          <w:p w:rsidR="00BF4029" w:rsidRDefault="00BF4029">
            <w:pPr>
              <w:pStyle w:val="TableParagraph"/>
              <w:spacing w:before="7"/>
              <w:ind w:left="0"/>
              <w:rPr>
                <w:sz w:val="17"/>
              </w:rPr>
            </w:pPr>
          </w:p>
          <w:p w:rsidR="00BF4029" w:rsidRDefault="00A24DEF">
            <w:pPr>
              <w:pStyle w:val="TableParagraph"/>
              <w:ind w:right="70"/>
              <w:rPr>
                <w:b/>
                <w:sz w:val="18"/>
              </w:rPr>
            </w:pPr>
            <w:r>
              <w:rPr>
                <w:b/>
                <w:sz w:val="18"/>
              </w:rPr>
              <w:t>t- value</w:t>
            </w:r>
          </w:p>
        </w:tc>
        <w:tc>
          <w:tcPr>
            <w:tcW w:w="1028" w:type="dxa"/>
          </w:tcPr>
          <w:p w:rsidR="00BF4029" w:rsidRDefault="00BF4029">
            <w:pPr>
              <w:pStyle w:val="TableParagraph"/>
              <w:spacing w:before="7"/>
              <w:ind w:left="0"/>
              <w:rPr>
                <w:sz w:val="17"/>
              </w:rPr>
            </w:pPr>
          </w:p>
          <w:p w:rsidR="00BF4029" w:rsidRDefault="00A24DEF">
            <w:pPr>
              <w:pStyle w:val="TableParagraph"/>
              <w:ind w:left="3"/>
              <w:rPr>
                <w:b/>
                <w:sz w:val="18"/>
              </w:rPr>
            </w:pPr>
            <w:r>
              <w:rPr>
                <w:b/>
                <w:sz w:val="18"/>
              </w:rPr>
              <w:t>Result</w:t>
            </w:r>
          </w:p>
        </w:tc>
      </w:tr>
      <w:tr w:rsidR="00BF4029">
        <w:trPr>
          <w:trHeight w:val="955"/>
        </w:trPr>
        <w:tc>
          <w:tcPr>
            <w:tcW w:w="4391" w:type="dxa"/>
          </w:tcPr>
          <w:p w:rsidR="00BF4029" w:rsidRDefault="00A24DEF">
            <w:pPr>
              <w:pStyle w:val="TableParagraph"/>
              <w:tabs>
                <w:tab w:val="left" w:pos="2129"/>
                <w:tab w:val="left" w:pos="3545"/>
              </w:tabs>
              <w:ind w:right="743"/>
              <w:rPr>
                <w:sz w:val="18"/>
              </w:rPr>
            </w:pPr>
            <w:r>
              <w:rPr>
                <w:sz w:val="18"/>
              </w:rPr>
              <w:t>Service-oriented  HR</w:t>
            </w:r>
            <w:r>
              <w:rPr>
                <w:sz w:val="18"/>
              </w:rPr>
              <w:tab/>
              <w:t>practices</w:t>
            </w:r>
            <w:r>
              <w:rPr>
                <w:sz w:val="18"/>
              </w:rPr>
              <w:tab/>
            </w:r>
            <w:r>
              <w:rPr>
                <w:spacing w:val="-17"/>
                <w:sz w:val="18"/>
              </w:rPr>
              <w:t xml:space="preserve">x </w:t>
            </w:r>
            <w:r>
              <w:rPr>
                <w:sz w:val="18"/>
              </w:rPr>
              <w:t>Competitive</w:t>
            </w:r>
            <w:r>
              <w:rPr>
                <w:spacing w:val="-1"/>
                <w:sz w:val="18"/>
              </w:rPr>
              <w:t xml:space="preserve"> </w:t>
            </w:r>
            <w:r>
              <w:rPr>
                <w:sz w:val="18"/>
              </w:rPr>
              <w:t>intensity</w:t>
            </w:r>
          </w:p>
        </w:tc>
        <w:tc>
          <w:tcPr>
            <w:tcW w:w="1080" w:type="dxa"/>
          </w:tcPr>
          <w:p w:rsidR="00BF4029" w:rsidRDefault="00A24DEF">
            <w:pPr>
              <w:pStyle w:val="TableParagraph"/>
              <w:spacing w:line="207" w:lineRule="exact"/>
              <w:rPr>
                <w:sz w:val="18"/>
              </w:rPr>
            </w:pPr>
            <w:r>
              <w:rPr>
                <w:sz w:val="18"/>
              </w:rPr>
              <w:t>-0.11**</w:t>
            </w:r>
          </w:p>
        </w:tc>
        <w:tc>
          <w:tcPr>
            <w:tcW w:w="565" w:type="dxa"/>
          </w:tcPr>
          <w:p w:rsidR="00BF4029" w:rsidRDefault="00A24DEF">
            <w:pPr>
              <w:pStyle w:val="TableParagraph"/>
              <w:spacing w:line="207" w:lineRule="exact"/>
              <w:rPr>
                <w:sz w:val="18"/>
              </w:rPr>
            </w:pPr>
            <w:r>
              <w:rPr>
                <w:sz w:val="18"/>
              </w:rPr>
              <w:t>-2.29</w:t>
            </w:r>
          </w:p>
        </w:tc>
        <w:tc>
          <w:tcPr>
            <w:tcW w:w="1028" w:type="dxa"/>
          </w:tcPr>
          <w:p w:rsidR="00BF4029" w:rsidRDefault="00A24DEF">
            <w:pPr>
              <w:pStyle w:val="TableParagraph"/>
              <w:spacing w:line="207" w:lineRule="exact"/>
              <w:ind w:left="3"/>
              <w:rPr>
                <w:sz w:val="18"/>
              </w:rPr>
            </w:pPr>
            <w:r>
              <w:rPr>
                <w:sz w:val="18"/>
              </w:rPr>
              <w:t>H4</w:t>
            </w:r>
          </w:p>
          <w:p w:rsidR="00BF4029" w:rsidRDefault="00A24DEF">
            <w:pPr>
              <w:pStyle w:val="TableParagraph"/>
              <w:spacing w:before="2"/>
              <w:ind w:left="3"/>
              <w:rPr>
                <w:sz w:val="18"/>
              </w:rPr>
            </w:pPr>
            <w:r>
              <w:rPr>
                <w:sz w:val="18"/>
              </w:rPr>
              <w:t>supported</w:t>
            </w:r>
          </w:p>
        </w:tc>
      </w:tr>
    </w:tbl>
    <w:p w:rsidR="00BF4029" w:rsidRDefault="00A24DEF">
      <w:pPr>
        <w:ind w:left="276" w:right="292"/>
        <w:jc w:val="center"/>
        <w:rPr>
          <w:i/>
          <w:sz w:val="18"/>
        </w:rPr>
      </w:pPr>
      <w:r>
        <w:rPr>
          <w:i/>
          <w:sz w:val="18"/>
        </w:rPr>
        <w:t>*** p &lt; 0.001, ** p &lt; 0.01, * p &lt; 0.05</w:t>
      </w:r>
    </w:p>
    <w:p w:rsidR="00BF4029" w:rsidRDefault="00BF4029">
      <w:pPr>
        <w:jc w:val="center"/>
        <w:rPr>
          <w:sz w:val="18"/>
        </w:rPr>
        <w:sectPr w:rsidR="00BF4029">
          <w:pgSz w:w="9980" w:h="14180"/>
          <w:pgMar w:top="1240" w:right="840" w:bottom="1100" w:left="860" w:header="625" w:footer="911" w:gutter="0"/>
          <w:cols w:space="720"/>
        </w:sectPr>
      </w:pPr>
    </w:p>
    <w:p w:rsidR="00BF4029" w:rsidRDefault="00BF4029">
      <w:pPr>
        <w:pStyle w:val="BodyText"/>
        <w:rPr>
          <w:i/>
          <w:sz w:val="20"/>
        </w:rPr>
      </w:pPr>
    </w:p>
    <w:p w:rsidR="00BF4029" w:rsidRDefault="00BF4029">
      <w:pPr>
        <w:pStyle w:val="BodyText"/>
        <w:rPr>
          <w:i/>
          <w:sz w:val="20"/>
        </w:rPr>
      </w:pPr>
    </w:p>
    <w:p w:rsidR="00BF4029" w:rsidRDefault="00BF4029">
      <w:pPr>
        <w:pStyle w:val="BodyText"/>
        <w:rPr>
          <w:i/>
          <w:sz w:val="20"/>
        </w:rPr>
      </w:pPr>
    </w:p>
    <w:p w:rsidR="00BF4029" w:rsidRDefault="00BF4029">
      <w:pPr>
        <w:pStyle w:val="BodyText"/>
        <w:spacing w:before="4"/>
        <w:rPr>
          <w:i/>
          <w:sz w:val="28"/>
        </w:rPr>
      </w:pPr>
    </w:p>
    <w:p w:rsidR="00BF4029" w:rsidRDefault="00A24DEF">
      <w:pPr>
        <w:pStyle w:val="BodyText"/>
        <w:ind w:left="154"/>
        <w:rPr>
          <w:sz w:val="20"/>
        </w:rPr>
      </w:pPr>
      <w:r>
        <w:rPr>
          <w:noProof/>
          <w:sz w:val="20"/>
        </w:rPr>
        <w:drawing>
          <wp:inline distT="0" distB="0" distL="0" distR="0">
            <wp:extent cx="5057811" cy="2457450"/>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1" cstate="print"/>
                    <a:stretch>
                      <a:fillRect/>
                    </a:stretch>
                  </pic:blipFill>
                  <pic:spPr>
                    <a:xfrm>
                      <a:off x="0" y="0"/>
                      <a:ext cx="5057811" cy="2457450"/>
                    </a:xfrm>
                    <a:prstGeom prst="rect">
                      <a:avLst/>
                    </a:prstGeom>
                  </pic:spPr>
                </pic:pic>
              </a:graphicData>
            </a:graphic>
          </wp:inline>
        </w:drawing>
      </w:r>
    </w:p>
    <w:p w:rsidR="00BF4029" w:rsidRDefault="00BF4029">
      <w:pPr>
        <w:pStyle w:val="BodyText"/>
        <w:spacing w:before="4"/>
        <w:rPr>
          <w:i/>
          <w:sz w:val="13"/>
        </w:rPr>
      </w:pPr>
    </w:p>
    <w:p w:rsidR="00BF4029" w:rsidRDefault="00A24DEF">
      <w:pPr>
        <w:spacing w:before="94" w:line="244" w:lineRule="auto"/>
        <w:ind w:left="104" w:right="116"/>
        <w:jc w:val="both"/>
        <w:rPr>
          <w:sz w:val="18"/>
        </w:rPr>
      </w:pPr>
      <w:r>
        <w:rPr>
          <w:b/>
          <w:sz w:val="18"/>
        </w:rPr>
        <w:t xml:space="preserve">Figure 2. </w:t>
      </w:r>
      <w:r>
        <w:rPr>
          <w:sz w:val="18"/>
        </w:rPr>
        <w:t>Interactive effect of service-oriented HR practices and competitive intensity on service climate</w:t>
      </w:r>
    </w:p>
    <w:p w:rsidR="00BF4029" w:rsidRDefault="00BF4029">
      <w:pPr>
        <w:pStyle w:val="BodyText"/>
        <w:spacing w:before="7"/>
        <w:rPr>
          <w:sz w:val="21"/>
        </w:rPr>
      </w:pPr>
    </w:p>
    <w:p w:rsidR="00BF4029" w:rsidRDefault="00A24DEF">
      <w:pPr>
        <w:pStyle w:val="BodyText"/>
        <w:spacing w:before="1"/>
        <w:ind w:left="104" w:right="115"/>
        <w:jc w:val="both"/>
      </w:pPr>
      <w:r>
        <w:t>Finally, Hypothesis 5 suggests that service climate mediates the relationship between leadership commitment to service quality, service-ori</w:t>
      </w:r>
      <w:r>
        <w:t>ented HR practices and BCB. Although a causal step approach (Baron &amp; Kenny, 1986) was popular to test mediation, recent literature has recommended to use SEM with bias-corrected bootstrapping</w:t>
      </w:r>
      <w:r>
        <w:rPr>
          <w:spacing w:val="-4"/>
        </w:rPr>
        <w:t xml:space="preserve"> </w:t>
      </w:r>
      <w:r>
        <w:t>as</w:t>
      </w:r>
      <w:r>
        <w:rPr>
          <w:spacing w:val="-5"/>
        </w:rPr>
        <w:t xml:space="preserve"> </w:t>
      </w:r>
      <w:r>
        <w:t>a</w:t>
      </w:r>
      <w:r>
        <w:rPr>
          <w:spacing w:val="-5"/>
        </w:rPr>
        <w:t xml:space="preserve"> </w:t>
      </w:r>
      <w:r>
        <w:t>superior</w:t>
      </w:r>
      <w:r>
        <w:rPr>
          <w:spacing w:val="-3"/>
        </w:rPr>
        <w:t xml:space="preserve"> </w:t>
      </w:r>
      <w:r>
        <w:t>method</w:t>
      </w:r>
      <w:r>
        <w:rPr>
          <w:spacing w:val="-5"/>
        </w:rPr>
        <w:t xml:space="preserve"> </w:t>
      </w:r>
      <w:r>
        <w:t>to</w:t>
      </w:r>
      <w:r>
        <w:rPr>
          <w:spacing w:val="-5"/>
        </w:rPr>
        <w:t xml:space="preserve"> </w:t>
      </w:r>
      <w:r>
        <w:t>test</w:t>
      </w:r>
      <w:r>
        <w:rPr>
          <w:spacing w:val="-4"/>
        </w:rPr>
        <w:t xml:space="preserve"> </w:t>
      </w:r>
      <w:r>
        <w:t>this</w:t>
      </w:r>
      <w:r>
        <w:rPr>
          <w:spacing w:val="-6"/>
        </w:rPr>
        <w:t xml:space="preserve"> </w:t>
      </w:r>
      <w:r>
        <w:t>mediating</w:t>
      </w:r>
      <w:r>
        <w:rPr>
          <w:spacing w:val="-3"/>
        </w:rPr>
        <w:t xml:space="preserve"> </w:t>
      </w:r>
      <w:r>
        <w:t>effect</w:t>
      </w:r>
      <w:r>
        <w:rPr>
          <w:spacing w:val="-4"/>
        </w:rPr>
        <w:t xml:space="preserve"> </w:t>
      </w:r>
      <w:r>
        <w:t>(Goodwin,</w:t>
      </w:r>
      <w:r>
        <w:rPr>
          <w:spacing w:val="-3"/>
        </w:rPr>
        <w:t xml:space="preserve"> </w:t>
      </w:r>
      <w:r>
        <w:t>Gro</w:t>
      </w:r>
      <w:r>
        <w:t>th,</w:t>
      </w:r>
      <w:r>
        <w:rPr>
          <w:spacing w:val="-4"/>
        </w:rPr>
        <w:t xml:space="preserve"> </w:t>
      </w:r>
      <w:r>
        <w:t>&amp; Frenkel,</w:t>
      </w:r>
      <w:r>
        <w:rPr>
          <w:spacing w:val="-13"/>
        </w:rPr>
        <w:t xml:space="preserve"> </w:t>
      </w:r>
      <w:r>
        <w:t>2011;</w:t>
      </w:r>
      <w:r>
        <w:rPr>
          <w:spacing w:val="-14"/>
        </w:rPr>
        <w:t xml:space="preserve"> </w:t>
      </w:r>
      <w:r>
        <w:t>Iacobucci,</w:t>
      </w:r>
      <w:r>
        <w:rPr>
          <w:spacing w:val="-16"/>
        </w:rPr>
        <w:t xml:space="preserve"> </w:t>
      </w:r>
      <w:r>
        <w:t>Saldanha,</w:t>
      </w:r>
      <w:r>
        <w:rPr>
          <w:spacing w:val="-13"/>
        </w:rPr>
        <w:t xml:space="preserve"> </w:t>
      </w:r>
      <w:r>
        <w:t>&amp;</w:t>
      </w:r>
      <w:r>
        <w:rPr>
          <w:spacing w:val="-14"/>
        </w:rPr>
        <w:t xml:space="preserve"> </w:t>
      </w:r>
      <w:r>
        <w:t>Deng,</w:t>
      </w:r>
      <w:r>
        <w:rPr>
          <w:spacing w:val="-14"/>
        </w:rPr>
        <w:t xml:space="preserve"> </w:t>
      </w:r>
      <w:r>
        <w:t>2007;</w:t>
      </w:r>
      <w:r>
        <w:rPr>
          <w:spacing w:val="-12"/>
        </w:rPr>
        <w:t xml:space="preserve"> </w:t>
      </w:r>
      <w:r>
        <w:t>Lau</w:t>
      </w:r>
      <w:r>
        <w:rPr>
          <w:spacing w:val="-17"/>
        </w:rPr>
        <w:t xml:space="preserve"> </w:t>
      </w:r>
      <w:r>
        <w:t>&amp;</w:t>
      </w:r>
      <w:r>
        <w:rPr>
          <w:spacing w:val="-14"/>
        </w:rPr>
        <w:t xml:space="preserve"> </w:t>
      </w:r>
      <w:r>
        <w:t>Cheung,</w:t>
      </w:r>
      <w:r>
        <w:rPr>
          <w:spacing w:val="-15"/>
        </w:rPr>
        <w:t xml:space="preserve"> </w:t>
      </w:r>
      <w:r>
        <w:t>2012).</w:t>
      </w:r>
      <w:r>
        <w:rPr>
          <w:spacing w:val="-13"/>
        </w:rPr>
        <w:t xml:space="preserve"> </w:t>
      </w:r>
      <w:r>
        <w:t>Following this approach, we used bias-corrected bootstrapping with 2000 re-samples to test the significance of direct, indirect and mediating</w:t>
      </w:r>
      <w:r>
        <w:rPr>
          <w:spacing w:val="-5"/>
        </w:rPr>
        <w:t xml:space="preserve"> </w:t>
      </w:r>
      <w:r>
        <w:t>effects.</w:t>
      </w:r>
    </w:p>
    <w:p w:rsidR="00BF4029" w:rsidRDefault="00BF4029">
      <w:pPr>
        <w:pStyle w:val="BodyText"/>
        <w:spacing w:before="1"/>
      </w:pPr>
    </w:p>
    <w:p w:rsidR="00BF4029" w:rsidRDefault="00A24DEF">
      <w:pPr>
        <w:pStyle w:val="BodyText"/>
        <w:ind w:left="104" w:right="115"/>
        <w:jc w:val="both"/>
      </w:pPr>
      <w:r>
        <w:t>Table 6 shows that the direct path from independent variables (leadership commitment to service quality and service-oriented HR practices) to dependent variable (BCB) was not statistically significant (p&gt;0.05). If both paths from independent to mediator an</w:t>
      </w:r>
      <w:r>
        <w:t>d from mediator to dependent are significant,</w:t>
      </w:r>
      <w:r>
        <w:rPr>
          <w:spacing w:val="-29"/>
        </w:rPr>
        <w:t xml:space="preserve"> </w:t>
      </w:r>
      <w:r>
        <w:t>mediation may exist (Goodwin et al., 2011). In our study, the bootstrapped bias-corrected confidence intervals indicated that both paths were statistically significant (see Table 6). The standardized indirect e</w:t>
      </w:r>
      <w:r>
        <w:t>ffects were 0.13, p&lt;0.01 for leadership commitment to service quality and 0.4, p&lt;0.01 for service-oriented HR practices. This suggests that service climate fully mediates both the relationship between leadership commitment to service quality and BCB, and t</w:t>
      </w:r>
      <w:r>
        <w:t>he relationship between service-oriented</w:t>
      </w:r>
      <w:r>
        <w:rPr>
          <w:spacing w:val="-5"/>
        </w:rPr>
        <w:t xml:space="preserve"> </w:t>
      </w:r>
      <w:r>
        <w:t>HR</w:t>
      </w:r>
      <w:r>
        <w:rPr>
          <w:spacing w:val="-6"/>
        </w:rPr>
        <w:t xml:space="preserve"> </w:t>
      </w:r>
      <w:r>
        <w:t>practices</w:t>
      </w:r>
      <w:r>
        <w:rPr>
          <w:spacing w:val="-5"/>
        </w:rPr>
        <w:t xml:space="preserve"> </w:t>
      </w:r>
      <w:r>
        <w:t>and</w:t>
      </w:r>
      <w:r>
        <w:rPr>
          <w:spacing w:val="-4"/>
        </w:rPr>
        <w:t xml:space="preserve"> </w:t>
      </w:r>
      <w:r>
        <w:t>BCB.</w:t>
      </w:r>
      <w:r>
        <w:rPr>
          <w:spacing w:val="-7"/>
        </w:rPr>
        <w:t xml:space="preserve"> </w:t>
      </w:r>
      <w:r>
        <w:t>In</w:t>
      </w:r>
      <w:r>
        <w:rPr>
          <w:spacing w:val="-5"/>
        </w:rPr>
        <w:t xml:space="preserve"> </w:t>
      </w:r>
      <w:r>
        <w:t>summary,</w:t>
      </w:r>
      <w:r>
        <w:rPr>
          <w:spacing w:val="-3"/>
        </w:rPr>
        <w:t xml:space="preserve"> </w:t>
      </w:r>
      <w:r>
        <w:t>H5a</w:t>
      </w:r>
      <w:r>
        <w:rPr>
          <w:spacing w:val="-6"/>
        </w:rPr>
        <w:t xml:space="preserve"> </w:t>
      </w:r>
      <w:r>
        <w:t>and</w:t>
      </w:r>
      <w:r>
        <w:rPr>
          <w:spacing w:val="-5"/>
        </w:rPr>
        <w:t xml:space="preserve"> </w:t>
      </w:r>
      <w:r>
        <w:t>H5b</w:t>
      </w:r>
      <w:r>
        <w:rPr>
          <w:spacing w:val="-6"/>
        </w:rPr>
        <w:t xml:space="preserve"> </w:t>
      </w:r>
      <w:r>
        <w:t>were</w:t>
      </w:r>
      <w:r>
        <w:rPr>
          <w:spacing w:val="-4"/>
        </w:rPr>
        <w:t xml:space="preserve"> </w:t>
      </w:r>
      <w:r>
        <w:t>supported by the</w:t>
      </w:r>
      <w:r>
        <w:rPr>
          <w:spacing w:val="-2"/>
        </w:rPr>
        <w:t xml:space="preserve"> </w:t>
      </w:r>
      <w:r>
        <w:t>data.</w:t>
      </w:r>
    </w:p>
    <w:p w:rsidR="00BF4029" w:rsidRDefault="00BF4029">
      <w:pPr>
        <w:jc w:val="both"/>
        <w:sectPr w:rsidR="00BF4029">
          <w:pgSz w:w="9980" w:h="14180"/>
          <w:pgMar w:top="1240" w:right="840" w:bottom="1100" w:left="860" w:header="625" w:footer="911" w:gutter="0"/>
          <w:cols w:space="720"/>
        </w:sectPr>
      </w:pPr>
    </w:p>
    <w:p w:rsidR="00BF4029" w:rsidRDefault="00BF4029">
      <w:pPr>
        <w:pStyle w:val="BodyText"/>
        <w:rPr>
          <w:sz w:val="21"/>
        </w:rPr>
      </w:pPr>
    </w:p>
    <w:p w:rsidR="00BF4029" w:rsidRDefault="00A24DEF">
      <w:pPr>
        <w:spacing w:before="94"/>
        <w:ind w:left="277" w:right="292"/>
        <w:jc w:val="center"/>
        <w:rPr>
          <w:sz w:val="18"/>
        </w:rPr>
      </w:pPr>
      <w:r>
        <w:rPr>
          <w:b/>
          <w:sz w:val="18"/>
        </w:rPr>
        <w:t xml:space="preserve">Table 6. </w:t>
      </w:r>
      <w:r>
        <w:rPr>
          <w:sz w:val="18"/>
        </w:rPr>
        <w:t>Results of bootstrapping analysis: Effects on BCB</w:t>
      </w:r>
    </w:p>
    <w:p w:rsidR="00BF4029" w:rsidRDefault="00BF4029">
      <w:pPr>
        <w:pStyle w:val="BodyText"/>
        <w:spacing w:before="7"/>
        <w:rPr>
          <w:sz w:val="18"/>
        </w:rPr>
      </w:pPr>
    </w:p>
    <w:tbl>
      <w:tblPr>
        <w:tblW w:w="0" w:type="auto"/>
        <w:tblInd w:w="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66"/>
        <w:gridCol w:w="1853"/>
        <w:gridCol w:w="1959"/>
        <w:gridCol w:w="1693"/>
      </w:tblGrid>
      <w:tr w:rsidR="00BF4029">
        <w:trPr>
          <w:trHeight w:val="897"/>
        </w:trPr>
        <w:tc>
          <w:tcPr>
            <w:tcW w:w="1966" w:type="dxa"/>
          </w:tcPr>
          <w:p w:rsidR="00BF4029" w:rsidRDefault="00BF4029">
            <w:pPr>
              <w:pStyle w:val="TableParagraph"/>
              <w:spacing w:before="5"/>
              <w:ind w:left="0"/>
              <w:rPr>
                <w:sz w:val="17"/>
              </w:rPr>
            </w:pPr>
          </w:p>
          <w:p w:rsidR="00BF4029" w:rsidRDefault="00A24DEF">
            <w:pPr>
              <w:pStyle w:val="TableParagraph"/>
              <w:rPr>
                <w:b/>
                <w:sz w:val="18"/>
              </w:rPr>
            </w:pPr>
            <w:r>
              <w:rPr>
                <w:b/>
                <w:sz w:val="18"/>
              </w:rPr>
              <w:t>Variable</w:t>
            </w:r>
          </w:p>
        </w:tc>
        <w:tc>
          <w:tcPr>
            <w:tcW w:w="1853" w:type="dxa"/>
          </w:tcPr>
          <w:p w:rsidR="00BF4029" w:rsidRDefault="00A24DEF">
            <w:pPr>
              <w:pStyle w:val="TableParagraph"/>
              <w:tabs>
                <w:tab w:val="left" w:pos="1357"/>
              </w:tabs>
              <w:ind w:right="-15"/>
              <w:rPr>
                <w:b/>
                <w:sz w:val="18"/>
              </w:rPr>
            </w:pPr>
            <w:r>
              <w:rPr>
                <w:b/>
                <w:sz w:val="18"/>
              </w:rPr>
              <w:t>Standardized</w:t>
            </w:r>
            <w:r>
              <w:rPr>
                <w:b/>
                <w:sz w:val="18"/>
              </w:rPr>
              <w:tab/>
              <w:t>direct effect</w:t>
            </w:r>
          </w:p>
        </w:tc>
        <w:tc>
          <w:tcPr>
            <w:tcW w:w="1959" w:type="dxa"/>
          </w:tcPr>
          <w:p w:rsidR="00BF4029" w:rsidRDefault="00A24DEF">
            <w:pPr>
              <w:pStyle w:val="TableParagraph"/>
              <w:ind w:left="2"/>
              <w:rPr>
                <w:b/>
                <w:sz w:val="18"/>
              </w:rPr>
            </w:pPr>
            <w:r>
              <w:rPr>
                <w:b/>
                <w:sz w:val="18"/>
              </w:rPr>
              <w:t>Standardized indirect eff</w:t>
            </w:r>
            <w:r>
              <w:rPr>
                <w:b/>
                <w:sz w:val="18"/>
              </w:rPr>
              <w:t>ect</w:t>
            </w:r>
          </w:p>
        </w:tc>
        <w:tc>
          <w:tcPr>
            <w:tcW w:w="1693" w:type="dxa"/>
          </w:tcPr>
          <w:p w:rsidR="00BF4029" w:rsidRDefault="00A24DEF">
            <w:pPr>
              <w:pStyle w:val="TableParagraph"/>
              <w:tabs>
                <w:tab w:val="left" w:pos="730"/>
              </w:tabs>
              <w:ind w:left="1" w:right="-15"/>
              <w:rPr>
                <w:b/>
                <w:sz w:val="18"/>
              </w:rPr>
            </w:pPr>
            <w:r>
              <w:rPr>
                <w:b/>
                <w:sz w:val="18"/>
              </w:rPr>
              <w:t>95%</w:t>
            </w:r>
            <w:r>
              <w:rPr>
                <w:b/>
                <w:sz w:val="18"/>
              </w:rPr>
              <w:tab/>
              <w:t>confidence interval</w:t>
            </w:r>
          </w:p>
        </w:tc>
      </w:tr>
      <w:tr w:rsidR="00BF4029">
        <w:trPr>
          <w:trHeight w:val="897"/>
        </w:trPr>
        <w:tc>
          <w:tcPr>
            <w:tcW w:w="1966" w:type="dxa"/>
          </w:tcPr>
          <w:p w:rsidR="00BF4029" w:rsidRDefault="00A24DEF">
            <w:pPr>
              <w:pStyle w:val="TableParagraph"/>
              <w:ind w:right="-9"/>
              <w:rPr>
                <w:sz w:val="18"/>
              </w:rPr>
            </w:pPr>
            <w:r>
              <w:rPr>
                <w:sz w:val="18"/>
              </w:rPr>
              <w:t>Leadership commitment to SQ</w:t>
            </w:r>
          </w:p>
        </w:tc>
        <w:tc>
          <w:tcPr>
            <w:tcW w:w="1853" w:type="dxa"/>
          </w:tcPr>
          <w:p w:rsidR="00BF4029" w:rsidRDefault="00A24DEF">
            <w:pPr>
              <w:pStyle w:val="TableParagraph"/>
              <w:spacing w:line="206" w:lineRule="exact"/>
              <w:rPr>
                <w:sz w:val="18"/>
              </w:rPr>
            </w:pPr>
            <w:r>
              <w:rPr>
                <w:sz w:val="18"/>
              </w:rPr>
              <w:t>ns</w:t>
            </w:r>
          </w:p>
        </w:tc>
        <w:tc>
          <w:tcPr>
            <w:tcW w:w="1959" w:type="dxa"/>
          </w:tcPr>
          <w:p w:rsidR="00BF4029" w:rsidRDefault="00A24DEF">
            <w:pPr>
              <w:pStyle w:val="TableParagraph"/>
              <w:spacing w:line="206" w:lineRule="exact"/>
              <w:ind w:left="2"/>
              <w:rPr>
                <w:sz w:val="18"/>
              </w:rPr>
            </w:pPr>
            <w:r>
              <w:rPr>
                <w:sz w:val="18"/>
              </w:rPr>
              <w:t>0.13*</w:t>
            </w:r>
          </w:p>
        </w:tc>
        <w:tc>
          <w:tcPr>
            <w:tcW w:w="1693" w:type="dxa"/>
          </w:tcPr>
          <w:p w:rsidR="00BF4029" w:rsidRDefault="00A24DEF">
            <w:pPr>
              <w:pStyle w:val="TableParagraph"/>
              <w:spacing w:line="206" w:lineRule="exact"/>
              <w:ind w:left="1"/>
              <w:rPr>
                <w:sz w:val="18"/>
              </w:rPr>
            </w:pPr>
            <w:r>
              <w:rPr>
                <w:sz w:val="18"/>
              </w:rPr>
              <w:t>0.004 to 0.45</w:t>
            </w:r>
          </w:p>
        </w:tc>
      </w:tr>
      <w:tr w:rsidR="00BF4029">
        <w:trPr>
          <w:trHeight w:val="902"/>
        </w:trPr>
        <w:tc>
          <w:tcPr>
            <w:tcW w:w="1966" w:type="dxa"/>
          </w:tcPr>
          <w:p w:rsidR="00BF4029" w:rsidRDefault="00A24DEF">
            <w:pPr>
              <w:pStyle w:val="TableParagraph"/>
              <w:rPr>
                <w:sz w:val="18"/>
              </w:rPr>
            </w:pPr>
            <w:r>
              <w:rPr>
                <w:sz w:val="18"/>
              </w:rPr>
              <w:t>Service-oriented HR practices</w:t>
            </w:r>
          </w:p>
        </w:tc>
        <w:tc>
          <w:tcPr>
            <w:tcW w:w="1853" w:type="dxa"/>
          </w:tcPr>
          <w:p w:rsidR="00BF4029" w:rsidRDefault="00A24DEF">
            <w:pPr>
              <w:pStyle w:val="TableParagraph"/>
              <w:spacing w:line="206" w:lineRule="exact"/>
              <w:rPr>
                <w:sz w:val="18"/>
              </w:rPr>
            </w:pPr>
            <w:r>
              <w:rPr>
                <w:sz w:val="18"/>
              </w:rPr>
              <w:t>ns</w:t>
            </w:r>
          </w:p>
        </w:tc>
        <w:tc>
          <w:tcPr>
            <w:tcW w:w="1959" w:type="dxa"/>
          </w:tcPr>
          <w:p w:rsidR="00BF4029" w:rsidRDefault="00A24DEF">
            <w:pPr>
              <w:pStyle w:val="TableParagraph"/>
              <w:spacing w:line="206" w:lineRule="exact"/>
              <w:ind w:left="2"/>
              <w:rPr>
                <w:sz w:val="18"/>
              </w:rPr>
            </w:pPr>
            <w:r>
              <w:rPr>
                <w:sz w:val="18"/>
              </w:rPr>
              <w:t>0.32**</w:t>
            </w:r>
          </w:p>
        </w:tc>
        <w:tc>
          <w:tcPr>
            <w:tcW w:w="1693" w:type="dxa"/>
          </w:tcPr>
          <w:p w:rsidR="00BF4029" w:rsidRDefault="00A24DEF">
            <w:pPr>
              <w:pStyle w:val="TableParagraph"/>
              <w:spacing w:line="206" w:lineRule="exact"/>
              <w:ind w:left="1"/>
              <w:rPr>
                <w:sz w:val="18"/>
              </w:rPr>
            </w:pPr>
            <w:r>
              <w:rPr>
                <w:sz w:val="18"/>
              </w:rPr>
              <w:t>0.06 to 0.85</w:t>
            </w:r>
          </w:p>
        </w:tc>
      </w:tr>
      <w:tr w:rsidR="00BF4029">
        <w:trPr>
          <w:trHeight w:val="566"/>
        </w:trPr>
        <w:tc>
          <w:tcPr>
            <w:tcW w:w="1966" w:type="dxa"/>
          </w:tcPr>
          <w:p w:rsidR="00BF4029" w:rsidRDefault="00A24DEF">
            <w:pPr>
              <w:pStyle w:val="TableParagraph"/>
              <w:spacing w:line="206" w:lineRule="exact"/>
              <w:rPr>
                <w:sz w:val="18"/>
              </w:rPr>
            </w:pPr>
            <w:r>
              <w:rPr>
                <w:sz w:val="18"/>
              </w:rPr>
              <w:t>Service climate</w:t>
            </w:r>
          </w:p>
        </w:tc>
        <w:tc>
          <w:tcPr>
            <w:tcW w:w="1853" w:type="dxa"/>
          </w:tcPr>
          <w:p w:rsidR="00BF4029" w:rsidRDefault="00A24DEF">
            <w:pPr>
              <w:pStyle w:val="TableParagraph"/>
              <w:spacing w:line="206" w:lineRule="exact"/>
              <w:rPr>
                <w:sz w:val="18"/>
              </w:rPr>
            </w:pPr>
            <w:r>
              <w:rPr>
                <w:sz w:val="18"/>
              </w:rPr>
              <w:t>0.51*</w:t>
            </w:r>
          </w:p>
        </w:tc>
        <w:tc>
          <w:tcPr>
            <w:tcW w:w="1959" w:type="dxa"/>
          </w:tcPr>
          <w:p w:rsidR="00BF4029" w:rsidRDefault="00A24DEF">
            <w:pPr>
              <w:pStyle w:val="TableParagraph"/>
              <w:spacing w:line="206" w:lineRule="exact"/>
              <w:ind w:left="2"/>
              <w:rPr>
                <w:sz w:val="18"/>
              </w:rPr>
            </w:pPr>
            <w:r>
              <w:rPr>
                <w:sz w:val="18"/>
              </w:rPr>
              <w:t>n/a</w:t>
            </w:r>
          </w:p>
        </w:tc>
        <w:tc>
          <w:tcPr>
            <w:tcW w:w="1693" w:type="dxa"/>
          </w:tcPr>
          <w:p w:rsidR="00BF4029" w:rsidRDefault="00A24DEF">
            <w:pPr>
              <w:pStyle w:val="TableParagraph"/>
              <w:spacing w:line="206" w:lineRule="exact"/>
              <w:ind w:left="1"/>
              <w:rPr>
                <w:sz w:val="18"/>
              </w:rPr>
            </w:pPr>
            <w:r>
              <w:rPr>
                <w:sz w:val="18"/>
              </w:rPr>
              <w:t>0.06 to 0.91</w:t>
            </w:r>
          </w:p>
        </w:tc>
      </w:tr>
    </w:tbl>
    <w:p w:rsidR="00BF4029" w:rsidRDefault="00A24DEF">
      <w:pPr>
        <w:ind w:left="275" w:right="292"/>
        <w:jc w:val="center"/>
        <w:rPr>
          <w:i/>
          <w:sz w:val="18"/>
        </w:rPr>
      </w:pPr>
      <w:r>
        <w:rPr>
          <w:i/>
          <w:sz w:val="18"/>
        </w:rPr>
        <w:t>Note: ** p &lt; 0.01, * p &lt; 0.05, ns: non-significant, n/a: not applicable</w:t>
      </w:r>
    </w:p>
    <w:p w:rsidR="00BF4029" w:rsidRDefault="00BF4029">
      <w:pPr>
        <w:pStyle w:val="BodyText"/>
        <w:spacing w:before="8"/>
        <w:rPr>
          <w:i/>
          <w:sz w:val="21"/>
        </w:rPr>
      </w:pPr>
    </w:p>
    <w:p w:rsidR="00BF4029" w:rsidRDefault="00A24DEF">
      <w:pPr>
        <w:pStyle w:val="Heading1"/>
        <w:spacing w:line="362" w:lineRule="auto"/>
        <w:ind w:right="5200"/>
      </w:pPr>
      <w:r>
        <w:t>Discussion and conclusions Theoretical implications</w:t>
      </w:r>
    </w:p>
    <w:p w:rsidR="00BF4029" w:rsidRDefault="00A24DEF">
      <w:pPr>
        <w:pStyle w:val="BodyText"/>
        <w:ind w:left="104" w:right="122"/>
        <w:jc w:val="both"/>
      </w:pPr>
      <w:r>
        <w:t>We draw on the reciprocity element of social exchange theory to develop hypotheses concerning how service climate is created and employee BCB is promoted in tourist hotels. Our findings make several contr</w:t>
      </w:r>
      <w:r>
        <w:t>ibutions to the services marketing and tourism literature as well as providing implications for managers.</w:t>
      </w:r>
    </w:p>
    <w:p w:rsidR="00BF4029" w:rsidRDefault="00BF4029">
      <w:pPr>
        <w:pStyle w:val="BodyText"/>
        <w:spacing w:before="11"/>
        <w:rPr>
          <w:sz w:val="21"/>
        </w:rPr>
      </w:pPr>
    </w:p>
    <w:p w:rsidR="00BF4029" w:rsidRDefault="00A24DEF">
      <w:pPr>
        <w:pStyle w:val="BodyText"/>
        <w:ind w:left="104" w:right="115"/>
        <w:jc w:val="both"/>
      </w:pPr>
      <w:r>
        <w:t>First, our study is the first to link service climate with BCB. Although prior studies (Baker et al., 2014; Chang et al., 2012; King &amp; Grace, 2010) h</w:t>
      </w:r>
      <w:r>
        <w:t>ave indicated that internal</w:t>
      </w:r>
      <w:r>
        <w:rPr>
          <w:spacing w:val="-12"/>
        </w:rPr>
        <w:t xml:space="preserve"> </w:t>
      </w:r>
      <w:r>
        <w:t>branding</w:t>
      </w:r>
      <w:r>
        <w:rPr>
          <w:spacing w:val="-9"/>
        </w:rPr>
        <w:t xml:space="preserve"> </w:t>
      </w:r>
      <w:r>
        <w:t>practices</w:t>
      </w:r>
      <w:r>
        <w:rPr>
          <w:spacing w:val="-10"/>
        </w:rPr>
        <w:t xml:space="preserve"> </w:t>
      </w:r>
      <w:r>
        <w:t>have</w:t>
      </w:r>
      <w:r>
        <w:rPr>
          <w:spacing w:val="-11"/>
        </w:rPr>
        <w:t xml:space="preserve"> </w:t>
      </w:r>
      <w:r>
        <w:t>a</w:t>
      </w:r>
      <w:r>
        <w:rPr>
          <w:spacing w:val="-9"/>
        </w:rPr>
        <w:t xml:space="preserve"> </w:t>
      </w:r>
      <w:r>
        <w:t>positive</w:t>
      </w:r>
      <w:r>
        <w:rPr>
          <w:spacing w:val="-10"/>
        </w:rPr>
        <w:t xml:space="preserve"> </w:t>
      </w:r>
      <w:r>
        <w:t>influence</w:t>
      </w:r>
      <w:r>
        <w:rPr>
          <w:spacing w:val="-12"/>
        </w:rPr>
        <w:t xml:space="preserve"> </w:t>
      </w:r>
      <w:r>
        <w:t>on</w:t>
      </w:r>
      <w:r>
        <w:rPr>
          <w:spacing w:val="-12"/>
        </w:rPr>
        <w:t xml:space="preserve"> </w:t>
      </w:r>
      <w:r>
        <w:t>BCB,</w:t>
      </w:r>
      <w:r>
        <w:rPr>
          <w:spacing w:val="-9"/>
        </w:rPr>
        <w:t xml:space="preserve"> </w:t>
      </w:r>
      <w:r>
        <w:t>the</w:t>
      </w:r>
      <w:r>
        <w:rPr>
          <w:spacing w:val="-14"/>
        </w:rPr>
        <w:t xml:space="preserve"> </w:t>
      </w:r>
      <w:r>
        <w:t>roles</w:t>
      </w:r>
      <w:r>
        <w:rPr>
          <w:spacing w:val="-10"/>
        </w:rPr>
        <w:t xml:space="preserve"> </w:t>
      </w:r>
      <w:r>
        <w:t>of</w:t>
      </w:r>
      <w:r>
        <w:rPr>
          <w:spacing w:val="-10"/>
        </w:rPr>
        <w:t xml:space="preserve"> </w:t>
      </w:r>
      <w:r>
        <w:t xml:space="preserve">leadership commitment to service quality and service practices (e.g. service-oriented HR practices) and the mediating role of service climate in promoting BCB in </w:t>
      </w:r>
      <w:r>
        <w:t>service firms have not been explored in prior literature. Drawing upon social exchange theory, our findings provide clear evidence that both leadership commitment to service quality and service-oriented HR practices positively influence service climate, wh</w:t>
      </w:r>
      <w:r>
        <w:t>ich in turn drives BCB in tourist hotels. When hotel employees are supported with organizational resources and practices, they feel a sense of obligation to reciprocate and support their organizational brand success (Blau, 1968; Sierra &amp; McQuitty,</w:t>
      </w:r>
      <w:r>
        <w:rPr>
          <w:spacing w:val="3"/>
        </w:rPr>
        <w:t xml:space="preserve"> </w:t>
      </w:r>
      <w:r>
        <w:t>2005).</w:t>
      </w:r>
    </w:p>
    <w:p w:rsidR="00BF4029" w:rsidRDefault="00BF4029">
      <w:pPr>
        <w:pStyle w:val="BodyText"/>
      </w:pPr>
    </w:p>
    <w:p w:rsidR="00BF4029" w:rsidRDefault="00A24DEF">
      <w:pPr>
        <w:pStyle w:val="BodyText"/>
        <w:ind w:left="104" w:right="118"/>
        <w:jc w:val="both"/>
      </w:pPr>
      <w:r>
        <w:t xml:space="preserve">Further, our findings indicate that service climate fully mediates the relationship between leadership commitment to service quality and BCB, and service-oriented HR practices and BCB in the tourist hotel industry. This suggests that tourist hotels should </w:t>
      </w:r>
      <w:r>
        <w:t>not expect the direct effect of leadership commitment to service quality and service- oriented HR practices on BCB. Instead, in order to enhance hotel employees’ BCB, tourist hotels should focus on shaping a positive service climate through leadership comm</w:t>
      </w:r>
      <w:r>
        <w:t>itment to service quality and service-oriented HR</w:t>
      </w:r>
    </w:p>
    <w:p w:rsidR="00BF4029" w:rsidRDefault="00BF4029">
      <w:pPr>
        <w:jc w:val="both"/>
        <w:sectPr w:rsidR="00BF4029">
          <w:pgSz w:w="9980" w:h="14180"/>
          <w:pgMar w:top="1240" w:right="840" w:bottom="1100" w:left="860" w:header="625" w:footer="911" w:gutter="0"/>
          <w:cols w:space="720"/>
        </w:sectPr>
      </w:pPr>
    </w:p>
    <w:p w:rsidR="00BF4029" w:rsidRDefault="00A24DEF">
      <w:pPr>
        <w:pStyle w:val="BodyText"/>
        <w:spacing w:before="87"/>
        <w:ind w:left="104" w:right="119"/>
        <w:jc w:val="both"/>
      </w:pPr>
      <w:r>
        <w:lastRenderedPageBreak/>
        <w:t>practices. Our mediating model of service climate on the relationships between leadership commitment to service quality, service-oriented HR practices and BCB explains</w:t>
      </w:r>
      <w:r>
        <w:rPr>
          <w:spacing w:val="-6"/>
        </w:rPr>
        <w:t xml:space="preserve"> </w:t>
      </w:r>
      <w:r>
        <w:t>40</w:t>
      </w:r>
      <w:r>
        <w:rPr>
          <w:spacing w:val="-7"/>
        </w:rPr>
        <w:t xml:space="preserve"> </w:t>
      </w:r>
      <w:r>
        <w:t>percent</w:t>
      </w:r>
      <w:r>
        <w:rPr>
          <w:spacing w:val="-6"/>
        </w:rPr>
        <w:t xml:space="preserve"> </w:t>
      </w:r>
      <w:r>
        <w:t>of</w:t>
      </w:r>
      <w:r>
        <w:rPr>
          <w:spacing w:val="-5"/>
        </w:rPr>
        <w:t xml:space="preserve"> </w:t>
      </w:r>
      <w:r>
        <w:t>BCB’s</w:t>
      </w:r>
      <w:r>
        <w:rPr>
          <w:spacing w:val="-3"/>
        </w:rPr>
        <w:t xml:space="preserve"> </w:t>
      </w:r>
      <w:r>
        <w:t>variance,</w:t>
      </w:r>
      <w:r>
        <w:rPr>
          <w:spacing w:val="-4"/>
        </w:rPr>
        <w:t xml:space="preserve"> </w:t>
      </w:r>
      <w:r>
        <w:t>providing</w:t>
      </w:r>
      <w:r>
        <w:rPr>
          <w:spacing w:val="-5"/>
        </w:rPr>
        <w:t xml:space="preserve"> </w:t>
      </w:r>
      <w:r>
        <w:t>evidence</w:t>
      </w:r>
      <w:r>
        <w:rPr>
          <w:spacing w:val="-5"/>
        </w:rPr>
        <w:t xml:space="preserve"> </w:t>
      </w:r>
      <w:r>
        <w:t>that</w:t>
      </w:r>
      <w:r>
        <w:rPr>
          <w:spacing w:val="-6"/>
        </w:rPr>
        <w:t xml:space="preserve"> </w:t>
      </w:r>
      <w:r>
        <w:t>it</w:t>
      </w:r>
      <w:r>
        <w:rPr>
          <w:spacing w:val="-6"/>
        </w:rPr>
        <w:t xml:space="preserve"> </w:t>
      </w:r>
      <w:r>
        <w:t>is</w:t>
      </w:r>
      <w:r>
        <w:rPr>
          <w:spacing w:val="-7"/>
        </w:rPr>
        <w:t xml:space="preserve"> </w:t>
      </w:r>
      <w:r>
        <w:t>a</w:t>
      </w:r>
      <w:r>
        <w:rPr>
          <w:spacing w:val="-7"/>
        </w:rPr>
        <w:t xml:space="preserve"> </w:t>
      </w:r>
      <w:r>
        <w:t>most</w:t>
      </w:r>
      <w:r>
        <w:rPr>
          <w:spacing w:val="-6"/>
        </w:rPr>
        <w:t xml:space="preserve"> </w:t>
      </w:r>
      <w:r>
        <w:t>effective means</w:t>
      </w:r>
      <w:r>
        <w:rPr>
          <w:spacing w:val="-17"/>
        </w:rPr>
        <w:t xml:space="preserve"> </w:t>
      </w:r>
      <w:r>
        <w:t>to</w:t>
      </w:r>
      <w:r>
        <w:rPr>
          <w:spacing w:val="-13"/>
        </w:rPr>
        <w:t xml:space="preserve"> </w:t>
      </w:r>
      <w:r>
        <w:t>promote</w:t>
      </w:r>
      <w:r>
        <w:rPr>
          <w:spacing w:val="-13"/>
        </w:rPr>
        <w:t xml:space="preserve"> </w:t>
      </w:r>
      <w:r>
        <w:t>BCB</w:t>
      </w:r>
      <w:r>
        <w:rPr>
          <w:spacing w:val="-14"/>
        </w:rPr>
        <w:t xml:space="preserve"> </w:t>
      </w:r>
      <w:r>
        <w:t>in</w:t>
      </w:r>
      <w:r>
        <w:rPr>
          <w:spacing w:val="-13"/>
        </w:rPr>
        <w:t xml:space="preserve"> </w:t>
      </w:r>
      <w:r>
        <w:t>tourist</w:t>
      </w:r>
      <w:r>
        <w:rPr>
          <w:spacing w:val="-12"/>
        </w:rPr>
        <w:t xml:space="preserve"> </w:t>
      </w:r>
      <w:r>
        <w:t>hotels.</w:t>
      </w:r>
      <w:r>
        <w:rPr>
          <w:spacing w:val="-15"/>
        </w:rPr>
        <w:t xml:space="preserve"> </w:t>
      </w:r>
      <w:r>
        <w:t>Although</w:t>
      </w:r>
      <w:r>
        <w:rPr>
          <w:spacing w:val="-16"/>
        </w:rPr>
        <w:t xml:space="preserve"> </w:t>
      </w:r>
      <w:r>
        <w:t>alternative</w:t>
      </w:r>
      <w:r>
        <w:rPr>
          <w:spacing w:val="-14"/>
        </w:rPr>
        <w:t xml:space="preserve"> </w:t>
      </w:r>
      <w:r>
        <w:t>theoretical</w:t>
      </w:r>
      <w:r>
        <w:rPr>
          <w:spacing w:val="-17"/>
        </w:rPr>
        <w:t xml:space="preserve"> </w:t>
      </w:r>
      <w:r>
        <w:t>frameworks such as internal branding practices (Baker et al., 2014; Chang et al., 2012; King &amp;</w:t>
      </w:r>
      <w:r>
        <w:t xml:space="preserve"> Grace, 2010) may provide additional explanation on the variance of BCB, our findings</w:t>
      </w:r>
      <w:r>
        <w:rPr>
          <w:spacing w:val="-4"/>
        </w:rPr>
        <w:t xml:space="preserve"> </w:t>
      </w:r>
      <w:r>
        <w:t>indicate</w:t>
      </w:r>
      <w:r>
        <w:rPr>
          <w:spacing w:val="-5"/>
        </w:rPr>
        <w:t xml:space="preserve"> </w:t>
      </w:r>
      <w:r>
        <w:t>that</w:t>
      </w:r>
      <w:r>
        <w:rPr>
          <w:spacing w:val="-2"/>
        </w:rPr>
        <w:t xml:space="preserve"> </w:t>
      </w:r>
      <w:r>
        <w:t>social</w:t>
      </w:r>
      <w:r>
        <w:rPr>
          <w:spacing w:val="-4"/>
        </w:rPr>
        <w:t xml:space="preserve"> </w:t>
      </w:r>
      <w:r>
        <w:t>exchange</w:t>
      </w:r>
      <w:r>
        <w:rPr>
          <w:spacing w:val="-3"/>
        </w:rPr>
        <w:t xml:space="preserve"> </w:t>
      </w:r>
      <w:r>
        <w:t>is</w:t>
      </w:r>
      <w:r>
        <w:rPr>
          <w:spacing w:val="-4"/>
        </w:rPr>
        <w:t xml:space="preserve"> </w:t>
      </w:r>
      <w:r>
        <w:t>crucial</w:t>
      </w:r>
      <w:r>
        <w:rPr>
          <w:spacing w:val="-4"/>
        </w:rPr>
        <w:t xml:space="preserve"> </w:t>
      </w:r>
      <w:r>
        <w:t>to</w:t>
      </w:r>
      <w:r>
        <w:rPr>
          <w:spacing w:val="-8"/>
        </w:rPr>
        <w:t xml:space="preserve"> </w:t>
      </w:r>
      <w:r>
        <w:t>explain</w:t>
      </w:r>
      <w:r>
        <w:rPr>
          <w:spacing w:val="-3"/>
        </w:rPr>
        <w:t xml:space="preserve"> </w:t>
      </w:r>
      <w:r>
        <w:t>and</w:t>
      </w:r>
      <w:r>
        <w:rPr>
          <w:spacing w:val="-3"/>
        </w:rPr>
        <w:t xml:space="preserve"> </w:t>
      </w:r>
      <w:r>
        <w:t>predict</w:t>
      </w:r>
      <w:r>
        <w:rPr>
          <w:spacing w:val="-4"/>
        </w:rPr>
        <w:t xml:space="preserve"> </w:t>
      </w:r>
      <w:r>
        <w:t>this</w:t>
      </w:r>
      <w:r>
        <w:rPr>
          <w:spacing w:val="-4"/>
        </w:rPr>
        <w:t xml:space="preserve"> </w:t>
      </w:r>
      <w:r>
        <w:t>variance.</w:t>
      </w:r>
    </w:p>
    <w:p w:rsidR="00BF4029" w:rsidRDefault="00BF4029">
      <w:pPr>
        <w:pStyle w:val="BodyText"/>
        <w:spacing w:before="11"/>
        <w:rPr>
          <w:sz w:val="21"/>
        </w:rPr>
      </w:pPr>
    </w:p>
    <w:p w:rsidR="00BF4029" w:rsidRDefault="00A24DEF">
      <w:pPr>
        <w:pStyle w:val="BodyText"/>
        <w:ind w:left="104" w:right="118"/>
        <w:jc w:val="both"/>
      </w:pPr>
      <w:r>
        <w:t>Additionally, we extend the social exchange theory in the tourism context and from an Asia</w:t>
      </w:r>
      <w:r>
        <w:t>n emerging market setting. While limited attention has been paid on the validation of social exchange theory in Asian emerging markets, we validate the applicability of social exchange theory in such markets. Evidence from our study shows</w:t>
      </w:r>
      <w:r>
        <w:rPr>
          <w:spacing w:val="-8"/>
        </w:rPr>
        <w:t xml:space="preserve"> </w:t>
      </w:r>
      <w:r>
        <w:t>that</w:t>
      </w:r>
      <w:r>
        <w:rPr>
          <w:spacing w:val="-9"/>
        </w:rPr>
        <w:t xml:space="preserve"> </w:t>
      </w:r>
      <w:r>
        <w:t>the</w:t>
      </w:r>
      <w:r>
        <w:rPr>
          <w:spacing w:val="-11"/>
        </w:rPr>
        <w:t xml:space="preserve"> </w:t>
      </w:r>
      <w:r>
        <w:t>exchange</w:t>
      </w:r>
      <w:r>
        <w:rPr>
          <w:spacing w:val="-10"/>
        </w:rPr>
        <w:t xml:space="preserve"> </w:t>
      </w:r>
      <w:r>
        <w:t>of</w:t>
      </w:r>
      <w:r>
        <w:rPr>
          <w:spacing w:val="-7"/>
        </w:rPr>
        <w:t xml:space="preserve"> </w:t>
      </w:r>
      <w:r>
        <w:t>relationships</w:t>
      </w:r>
      <w:r>
        <w:rPr>
          <w:spacing w:val="-10"/>
        </w:rPr>
        <w:t xml:space="preserve"> </w:t>
      </w:r>
      <w:r>
        <w:t>such</w:t>
      </w:r>
      <w:r>
        <w:rPr>
          <w:spacing w:val="-11"/>
        </w:rPr>
        <w:t xml:space="preserve"> </w:t>
      </w:r>
      <w:r>
        <w:t>as</w:t>
      </w:r>
      <w:r>
        <w:rPr>
          <w:spacing w:val="-9"/>
        </w:rPr>
        <w:t xml:space="preserve"> </w:t>
      </w:r>
      <w:r>
        <w:t>leadership</w:t>
      </w:r>
      <w:r>
        <w:rPr>
          <w:spacing w:val="-8"/>
        </w:rPr>
        <w:t xml:space="preserve"> </w:t>
      </w:r>
      <w:r>
        <w:t>commitment</w:t>
      </w:r>
      <w:r>
        <w:rPr>
          <w:spacing w:val="-9"/>
        </w:rPr>
        <w:t xml:space="preserve"> </w:t>
      </w:r>
      <w:r>
        <w:t>to</w:t>
      </w:r>
      <w:r>
        <w:rPr>
          <w:spacing w:val="-10"/>
        </w:rPr>
        <w:t xml:space="preserve"> </w:t>
      </w:r>
      <w:r>
        <w:t>service quality, service-oriented HR practices, service climate and BCB is quite strong with high positive relationships between the proposed variables. Indeed, the</w:t>
      </w:r>
      <w:r>
        <w:rPr>
          <w:spacing w:val="-41"/>
        </w:rPr>
        <w:t xml:space="preserve"> </w:t>
      </w:r>
      <w:r>
        <w:t>importance of interpersonal relationships and group norms is more manifest in collectivistic cultures such as those typically found in Asian emerging markets than in more advanced Western markets (Gamble &amp; Tian, 2012; Thang et al., 2007). As such, based on</w:t>
      </w:r>
      <w:r>
        <w:t xml:space="preserve"> this relational predisposition, we posit that employees from Asian emerging markets, given their collectivist background, are more willing to reciprocate</w:t>
      </w:r>
      <w:r>
        <w:rPr>
          <w:spacing w:val="-11"/>
        </w:rPr>
        <w:t xml:space="preserve"> </w:t>
      </w:r>
      <w:r>
        <w:t>and</w:t>
      </w:r>
      <w:r>
        <w:rPr>
          <w:spacing w:val="-13"/>
        </w:rPr>
        <w:t xml:space="preserve"> </w:t>
      </w:r>
      <w:r>
        <w:t>support</w:t>
      </w:r>
      <w:r>
        <w:rPr>
          <w:spacing w:val="-12"/>
        </w:rPr>
        <w:t xml:space="preserve"> </w:t>
      </w:r>
      <w:r>
        <w:t>their</w:t>
      </w:r>
      <w:r>
        <w:rPr>
          <w:spacing w:val="-9"/>
        </w:rPr>
        <w:t xml:space="preserve"> </w:t>
      </w:r>
      <w:r>
        <w:t>organizational</w:t>
      </w:r>
      <w:r>
        <w:rPr>
          <w:spacing w:val="-12"/>
        </w:rPr>
        <w:t xml:space="preserve"> </w:t>
      </w:r>
      <w:r>
        <w:t>brand</w:t>
      </w:r>
      <w:r>
        <w:rPr>
          <w:spacing w:val="-13"/>
        </w:rPr>
        <w:t xml:space="preserve"> </w:t>
      </w:r>
      <w:r>
        <w:t>by</w:t>
      </w:r>
      <w:r>
        <w:rPr>
          <w:spacing w:val="-14"/>
        </w:rPr>
        <w:t xml:space="preserve"> </w:t>
      </w:r>
      <w:r>
        <w:t>putting</w:t>
      </w:r>
      <w:r>
        <w:rPr>
          <w:spacing w:val="-11"/>
        </w:rPr>
        <w:t xml:space="preserve"> </w:t>
      </w:r>
      <w:r>
        <w:t>extra</w:t>
      </w:r>
      <w:r>
        <w:rPr>
          <w:spacing w:val="-14"/>
        </w:rPr>
        <w:t xml:space="preserve"> </w:t>
      </w:r>
      <w:r>
        <w:t>effort</w:t>
      </w:r>
      <w:r>
        <w:rPr>
          <w:spacing w:val="-9"/>
        </w:rPr>
        <w:t xml:space="preserve"> </w:t>
      </w:r>
      <w:r>
        <w:t>into</w:t>
      </w:r>
      <w:r>
        <w:rPr>
          <w:spacing w:val="-13"/>
        </w:rPr>
        <w:t xml:space="preserve"> </w:t>
      </w:r>
      <w:r>
        <w:t>service delivery.</w:t>
      </w:r>
    </w:p>
    <w:p w:rsidR="00BF4029" w:rsidRDefault="00BF4029">
      <w:pPr>
        <w:pStyle w:val="BodyText"/>
      </w:pPr>
    </w:p>
    <w:p w:rsidR="00BF4029" w:rsidRDefault="00A24DEF">
      <w:pPr>
        <w:pStyle w:val="BodyText"/>
        <w:spacing w:before="1"/>
        <w:ind w:left="104" w:right="115"/>
        <w:jc w:val="both"/>
      </w:pPr>
      <w:r>
        <w:t>Finally, while</w:t>
      </w:r>
      <w:r>
        <w:t xml:space="preserve"> previous studies (Auh et al., 2011; Hong et al., 2013; Salanova et al., 2005; Schneider et al., 1998) only focus on firm-based antecedents of service climate, our study examined the impact of competitive intensity as a moderator of the service-oriented HR</w:t>
      </w:r>
      <w:r>
        <w:t xml:space="preserve"> practices and service climate relationship. Our findings indicate</w:t>
      </w:r>
      <w:r>
        <w:rPr>
          <w:spacing w:val="-14"/>
        </w:rPr>
        <w:t xml:space="preserve"> </w:t>
      </w:r>
      <w:r>
        <w:t>that</w:t>
      </w:r>
      <w:r>
        <w:rPr>
          <w:spacing w:val="-16"/>
        </w:rPr>
        <w:t xml:space="preserve"> </w:t>
      </w:r>
      <w:r>
        <w:t>in</w:t>
      </w:r>
      <w:r>
        <w:rPr>
          <w:spacing w:val="-16"/>
        </w:rPr>
        <w:t xml:space="preserve"> </w:t>
      </w:r>
      <w:r>
        <w:t>a</w:t>
      </w:r>
      <w:r>
        <w:rPr>
          <w:spacing w:val="-17"/>
        </w:rPr>
        <w:t xml:space="preserve"> </w:t>
      </w:r>
      <w:r>
        <w:t>more</w:t>
      </w:r>
      <w:r>
        <w:rPr>
          <w:spacing w:val="-16"/>
        </w:rPr>
        <w:t xml:space="preserve"> </w:t>
      </w:r>
      <w:r>
        <w:t>intensely</w:t>
      </w:r>
      <w:r>
        <w:rPr>
          <w:spacing w:val="-17"/>
        </w:rPr>
        <w:t xml:space="preserve"> </w:t>
      </w:r>
      <w:r>
        <w:t>competitive</w:t>
      </w:r>
      <w:r>
        <w:rPr>
          <w:spacing w:val="-13"/>
        </w:rPr>
        <w:t xml:space="preserve"> </w:t>
      </w:r>
      <w:r>
        <w:t>environment,</w:t>
      </w:r>
      <w:r>
        <w:rPr>
          <w:spacing w:val="-16"/>
        </w:rPr>
        <w:t xml:space="preserve"> </w:t>
      </w:r>
      <w:r>
        <w:t>especially</w:t>
      </w:r>
      <w:r>
        <w:rPr>
          <w:spacing w:val="-17"/>
        </w:rPr>
        <w:t xml:space="preserve"> </w:t>
      </w:r>
      <w:r>
        <w:t>when</w:t>
      </w:r>
      <w:r>
        <w:rPr>
          <w:spacing w:val="-13"/>
        </w:rPr>
        <w:t xml:space="preserve"> </w:t>
      </w:r>
      <w:r>
        <w:t>attracting key service employees, the efforts of service firms to use service-oriented HR practices to enhance service clim</w:t>
      </w:r>
      <w:r>
        <w:t>ate are more difficult or less effective than in less competitive environments. Our findings, thus, extend the view that certain constraints can hinder the quality of social exchange (Mitchell, Cropanzano &amp; Quisenberry, 2012) by confirming competitive inte</w:t>
      </w:r>
      <w:r>
        <w:t>nsity in the tourist hotel industry as</w:t>
      </w:r>
      <w:r>
        <w:rPr>
          <w:spacing w:val="-6"/>
        </w:rPr>
        <w:t xml:space="preserve"> </w:t>
      </w:r>
      <w:r>
        <w:t>a</w:t>
      </w:r>
      <w:r>
        <w:rPr>
          <w:spacing w:val="-9"/>
        </w:rPr>
        <w:t xml:space="preserve"> </w:t>
      </w:r>
      <w:r>
        <w:t>constraint</w:t>
      </w:r>
      <w:r>
        <w:rPr>
          <w:spacing w:val="-5"/>
        </w:rPr>
        <w:t xml:space="preserve"> </w:t>
      </w:r>
      <w:r>
        <w:t>on</w:t>
      </w:r>
      <w:r>
        <w:rPr>
          <w:spacing w:val="-12"/>
        </w:rPr>
        <w:t xml:space="preserve"> </w:t>
      </w:r>
      <w:r>
        <w:t>the</w:t>
      </w:r>
      <w:r>
        <w:rPr>
          <w:spacing w:val="-9"/>
        </w:rPr>
        <w:t xml:space="preserve"> </w:t>
      </w:r>
      <w:r>
        <w:t>influence</w:t>
      </w:r>
      <w:r>
        <w:rPr>
          <w:spacing w:val="-7"/>
        </w:rPr>
        <w:t xml:space="preserve"> </w:t>
      </w:r>
      <w:r>
        <w:t>of</w:t>
      </w:r>
      <w:r>
        <w:rPr>
          <w:spacing w:val="-4"/>
        </w:rPr>
        <w:t xml:space="preserve"> </w:t>
      </w:r>
      <w:r>
        <w:t>service-oriented</w:t>
      </w:r>
      <w:r>
        <w:rPr>
          <w:spacing w:val="-6"/>
        </w:rPr>
        <w:t xml:space="preserve"> </w:t>
      </w:r>
      <w:r>
        <w:t>HR</w:t>
      </w:r>
      <w:r>
        <w:rPr>
          <w:spacing w:val="-7"/>
        </w:rPr>
        <w:t xml:space="preserve"> </w:t>
      </w:r>
      <w:r>
        <w:t>practices</w:t>
      </w:r>
      <w:r>
        <w:rPr>
          <w:spacing w:val="-9"/>
        </w:rPr>
        <w:t xml:space="preserve"> </w:t>
      </w:r>
      <w:r>
        <w:t>on</w:t>
      </w:r>
      <w:r>
        <w:rPr>
          <w:spacing w:val="-9"/>
        </w:rPr>
        <w:t xml:space="preserve"> </w:t>
      </w:r>
      <w:r>
        <w:t>service</w:t>
      </w:r>
      <w:r>
        <w:rPr>
          <w:spacing w:val="-6"/>
        </w:rPr>
        <w:t xml:space="preserve"> </w:t>
      </w:r>
      <w:r>
        <w:t>climate.</w:t>
      </w:r>
    </w:p>
    <w:p w:rsidR="00BF4029" w:rsidRDefault="00BF4029">
      <w:pPr>
        <w:pStyle w:val="BodyText"/>
        <w:spacing w:before="9"/>
        <w:rPr>
          <w:sz w:val="21"/>
        </w:rPr>
      </w:pPr>
    </w:p>
    <w:p w:rsidR="00BF4029" w:rsidRDefault="00A24DEF">
      <w:pPr>
        <w:pStyle w:val="Heading1"/>
        <w:spacing w:before="1"/>
      </w:pPr>
      <w:r>
        <w:t>Managerial implications</w:t>
      </w:r>
    </w:p>
    <w:p w:rsidR="00BF4029" w:rsidRDefault="00A24DEF">
      <w:pPr>
        <w:pStyle w:val="BodyText"/>
        <w:spacing w:before="128"/>
        <w:ind w:left="104" w:right="115"/>
        <w:jc w:val="both"/>
      </w:pPr>
      <w:r>
        <w:t>Our findings have several implications for managers of tourist hotels. First, our finding that leadership com</w:t>
      </w:r>
      <w:r>
        <w:t>mitment to service quality and service-oriented HR practices enhance service climate means that managers of tourist hotels can take actions to improve their organizational service climate and BCB for their service brand success. Specifically, leaders of to</w:t>
      </w:r>
      <w:r>
        <w:t>urist hotels need to show commitment to service quality to deliver a strong message about excellent service delivery (Hong et</w:t>
      </w:r>
      <w:r>
        <w:rPr>
          <w:spacing w:val="-9"/>
        </w:rPr>
        <w:t xml:space="preserve"> </w:t>
      </w:r>
      <w:r>
        <w:t>al.,</w:t>
      </w:r>
      <w:r>
        <w:rPr>
          <w:spacing w:val="-8"/>
        </w:rPr>
        <w:t xml:space="preserve"> </w:t>
      </w:r>
      <w:r>
        <w:t>2013).</w:t>
      </w:r>
      <w:r>
        <w:rPr>
          <w:spacing w:val="-15"/>
        </w:rPr>
        <w:t xml:space="preserve"> </w:t>
      </w:r>
      <w:r>
        <w:t>When</w:t>
      </w:r>
      <w:r>
        <w:rPr>
          <w:spacing w:val="-12"/>
        </w:rPr>
        <w:t xml:space="preserve"> </w:t>
      </w:r>
      <w:r>
        <w:t>a</w:t>
      </w:r>
      <w:r>
        <w:rPr>
          <w:spacing w:val="-9"/>
        </w:rPr>
        <w:t xml:space="preserve"> </w:t>
      </w:r>
      <w:r>
        <w:t>positive</w:t>
      </w:r>
      <w:r>
        <w:rPr>
          <w:spacing w:val="-9"/>
        </w:rPr>
        <w:t xml:space="preserve"> </w:t>
      </w:r>
      <w:r>
        <w:t>service</w:t>
      </w:r>
      <w:r>
        <w:rPr>
          <w:spacing w:val="-9"/>
        </w:rPr>
        <w:t xml:space="preserve"> </w:t>
      </w:r>
      <w:r>
        <w:t>climate</w:t>
      </w:r>
      <w:r>
        <w:rPr>
          <w:spacing w:val="-8"/>
        </w:rPr>
        <w:t xml:space="preserve"> </w:t>
      </w:r>
      <w:r>
        <w:t>is</w:t>
      </w:r>
      <w:r>
        <w:rPr>
          <w:spacing w:val="-9"/>
        </w:rPr>
        <w:t xml:space="preserve"> </w:t>
      </w:r>
      <w:r>
        <w:t>created,</w:t>
      </w:r>
      <w:r>
        <w:rPr>
          <w:spacing w:val="-10"/>
        </w:rPr>
        <w:t xml:space="preserve"> </w:t>
      </w:r>
      <w:r>
        <w:t>tourist</w:t>
      </w:r>
      <w:r>
        <w:rPr>
          <w:spacing w:val="-10"/>
        </w:rPr>
        <w:t xml:space="preserve"> </w:t>
      </w:r>
      <w:r>
        <w:t>hotel</w:t>
      </w:r>
      <w:r>
        <w:rPr>
          <w:spacing w:val="-10"/>
        </w:rPr>
        <w:t xml:space="preserve"> </w:t>
      </w:r>
      <w:r>
        <w:t>employees</w:t>
      </w:r>
      <w:r>
        <w:rPr>
          <w:spacing w:val="-8"/>
        </w:rPr>
        <w:t xml:space="preserve"> </w:t>
      </w:r>
      <w:r>
        <w:t>are more likely to exhibit BCB. In addition, the mediation of service climate suggests that management may foster a positive service climate to enhance the influence</w:t>
      </w:r>
      <w:r>
        <w:rPr>
          <w:spacing w:val="16"/>
        </w:rPr>
        <w:t xml:space="preserve"> </w:t>
      </w:r>
      <w:r>
        <w:t>of</w:t>
      </w:r>
    </w:p>
    <w:p w:rsidR="00BF4029" w:rsidRDefault="00BF4029">
      <w:pPr>
        <w:jc w:val="both"/>
        <w:sectPr w:rsidR="00BF4029">
          <w:pgSz w:w="9980" w:h="14180"/>
          <w:pgMar w:top="1240" w:right="840" w:bottom="1100" w:left="860" w:header="625" w:footer="911" w:gutter="0"/>
          <w:cols w:space="720"/>
        </w:sectPr>
      </w:pPr>
    </w:p>
    <w:p w:rsidR="00BF4029" w:rsidRDefault="00A24DEF">
      <w:pPr>
        <w:pStyle w:val="BodyText"/>
        <w:spacing w:before="87"/>
        <w:ind w:left="104" w:right="116"/>
        <w:jc w:val="both"/>
      </w:pPr>
      <w:r>
        <w:lastRenderedPageBreak/>
        <w:t>leadership commitment to service quality and service-oriented HR prac</w:t>
      </w:r>
      <w:r>
        <w:t>tices on employee BCB. Management efforts such as training tourist hotel employees to obtain knowledge and skills for service delivery, rewarding tourist hotel employees based on service performance, and providing more autonomy for employees are crucial in</w:t>
      </w:r>
      <w:r>
        <w:t xml:space="preserve"> generating a positive service climate (Auh et al., 2011; Hong et al., 2013) and thereby promote BCB in tourist hotel employees.</w:t>
      </w:r>
    </w:p>
    <w:p w:rsidR="00BF4029" w:rsidRDefault="00BF4029">
      <w:pPr>
        <w:pStyle w:val="BodyText"/>
        <w:spacing w:before="9"/>
        <w:rPr>
          <w:sz w:val="21"/>
        </w:rPr>
      </w:pPr>
    </w:p>
    <w:p w:rsidR="00BF4029" w:rsidRDefault="00A24DEF">
      <w:pPr>
        <w:pStyle w:val="Heading1"/>
        <w:spacing w:before="1"/>
      </w:pPr>
      <w:r>
        <w:t>Limitations and future research</w:t>
      </w:r>
    </w:p>
    <w:p w:rsidR="00BF4029" w:rsidRDefault="00A24DEF">
      <w:pPr>
        <w:pStyle w:val="BodyText"/>
        <w:spacing w:before="128"/>
        <w:ind w:left="104" w:right="117"/>
        <w:jc w:val="both"/>
      </w:pPr>
      <w:r>
        <w:t xml:space="preserve">Nevertheless, we drew our conclusion from a small sample of tourist hotel employees in Danang </w:t>
      </w:r>
      <w:r>
        <w:t>using self-reported data. Our research findings can also be strengthened with data from multiple sources, by surveying not only tourist hotel employees but also supervisors, co- workers and customers in order to triangulate the research findings. For examp</w:t>
      </w:r>
      <w:r>
        <w:t>le, service- oriented HR practices, leadership commitment to service quality, and BCB can be surveyed from the additional perspectives of supervisors/managers (Auh, Menguc, &amp; Jung, 2014; Hartline &amp; Ferrell,</w:t>
      </w:r>
      <w:r>
        <w:rPr>
          <w:spacing w:val="-3"/>
        </w:rPr>
        <w:t xml:space="preserve"> </w:t>
      </w:r>
      <w:r>
        <w:t>1996;</w:t>
      </w:r>
      <w:r>
        <w:rPr>
          <w:spacing w:val="-4"/>
        </w:rPr>
        <w:t xml:space="preserve"> </w:t>
      </w:r>
      <w:r>
        <w:t>Tang</w:t>
      </w:r>
      <w:r>
        <w:rPr>
          <w:spacing w:val="-3"/>
        </w:rPr>
        <w:t xml:space="preserve"> </w:t>
      </w:r>
      <w:r>
        <w:t>&amp;</w:t>
      </w:r>
      <w:r>
        <w:rPr>
          <w:spacing w:val="-6"/>
        </w:rPr>
        <w:t xml:space="preserve"> </w:t>
      </w:r>
      <w:r>
        <w:t>Tang,</w:t>
      </w:r>
      <w:r>
        <w:rPr>
          <w:spacing w:val="-2"/>
        </w:rPr>
        <w:t xml:space="preserve"> </w:t>
      </w:r>
      <w:r>
        <w:t>2012).</w:t>
      </w:r>
      <w:r>
        <w:rPr>
          <w:spacing w:val="-4"/>
        </w:rPr>
        <w:t xml:space="preserve"> </w:t>
      </w:r>
      <w:r>
        <w:t>BCB</w:t>
      </w:r>
      <w:r>
        <w:rPr>
          <w:spacing w:val="-3"/>
        </w:rPr>
        <w:t xml:space="preserve"> </w:t>
      </w:r>
      <w:r>
        <w:t>can</w:t>
      </w:r>
      <w:r>
        <w:rPr>
          <w:spacing w:val="-6"/>
        </w:rPr>
        <w:t xml:space="preserve"> </w:t>
      </w:r>
      <w:r>
        <w:t>also</w:t>
      </w:r>
      <w:r>
        <w:rPr>
          <w:spacing w:val="-5"/>
        </w:rPr>
        <w:t xml:space="preserve"> </w:t>
      </w:r>
      <w:r>
        <w:t>be</w:t>
      </w:r>
      <w:r>
        <w:rPr>
          <w:spacing w:val="-3"/>
        </w:rPr>
        <w:t xml:space="preserve"> </w:t>
      </w:r>
      <w:r>
        <w:t>reporte</w:t>
      </w:r>
      <w:r>
        <w:t>d</w:t>
      </w:r>
      <w:r>
        <w:rPr>
          <w:spacing w:val="-6"/>
        </w:rPr>
        <w:t xml:space="preserve"> </w:t>
      </w:r>
      <w:r>
        <w:t>by</w:t>
      </w:r>
      <w:r>
        <w:rPr>
          <w:spacing w:val="-5"/>
        </w:rPr>
        <w:t xml:space="preserve"> </w:t>
      </w:r>
      <w:r>
        <w:t>co-workers</w:t>
      </w:r>
      <w:r>
        <w:rPr>
          <w:spacing w:val="-3"/>
        </w:rPr>
        <w:t xml:space="preserve"> </w:t>
      </w:r>
      <w:r>
        <w:t>(Scott, Restubog, &amp; Zagenczyk, 2013). Another possible future research avenue is to validate our findings in another market, advancing our understanding of the identified relationships in a cross-national</w:t>
      </w:r>
      <w:r>
        <w:rPr>
          <w:spacing w:val="-6"/>
        </w:rPr>
        <w:t xml:space="preserve"> </w:t>
      </w:r>
      <w:r>
        <w:t>setting.</w:t>
      </w:r>
    </w:p>
    <w:p w:rsidR="00BF4029" w:rsidRDefault="00BF4029">
      <w:pPr>
        <w:pStyle w:val="BodyText"/>
        <w:spacing w:before="1"/>
      </w:pPr>
    </w:p>
    <w:p w:rsidR="00BF4029" w:rsidRDefault="00A24DEF">
      <w:pPr>
        <w:pStyle w:val="BodyText"/>
        <w:ind w:left="104" w:right="120"/>
        <w:jc w:val="both"/>
      </w:pPr>
      <w:r>
        <w:t>In</w:t>
      </w:r>
      <w:r>
        <w:rPr>
          <w:spacing w:val="-4"/>
        </w:rPr>
        <w:t xml:space="preserve"> </w:t>
      </w:r>
      <w:r>
        <w:t>addition,</w:t>
      </w:r>
      <w:r>
        <w:rPr>
          <w:spacing w:val="-5"/>
        </w:rPr>
        <w:t xml:space="preserve"> </w:t>
      </w:r>
      <w:r>
        <w:t>future</w:t>
      </w:r>
      <w:r>
        <w:rPr>
          <w:spacing w:val="-6"/>
        </w:rPr>
        <w:t xml:space="preserve"> </w:t>
      </w:r>
      <w:r>
        <w:t>resea</w:t>
      </w:r>
      <w:r>
        <w:t>rch</w:t>
      </w:r>
      <w:r>
        <w:rPr>
          <w:spacing w:val="-4"/>
        </w:rPr>
        <w:t xml:space="preserve"> </w:t>
      </w:r>
      <w:r>
        <w:t>could</w:t>
      </w:r>
      <w:r>
        <w:rPr>
          <w:spacing w:val="-6"/>
        </w:rPr>
        <w:t xml:space="preserve"> </w:t>
      </w:r>
      <w:r>
        <w:t>also</w:t>
      </w:r>
      <w:r>
        <w:rPr>
          <w:spacing w:val="-4"/>
        </w:rPr>
        <w:t xml:space="preserve"> </w:t>
      </w:r>
      <w:r>
        <w:t>incorporate</w:t>
      </w:r>
      <w:r>
        <w:rPr>
          <w:spacing w:val="-6"/>
        </w:rPr>
        <w:t xml:space="preserve"> </w:t>
      </w:r>
      <w:r>
        <w:t>or</w:t>
      </w:r>
      <w:r>
        <w:rPr>
          <w:spacing w:val="-7"/>
        </w:rPr>
        <w:t xml:space="preserve"> </w:t>
      </w:r>
      <w:r>
        <w:t>test</w:t>
      </w:r>
      <w:r>
        <w:rPr>
          <w:spacing w:val="-8"/>
        </w:rPr>
        <w:t xml:space="preserve"> </w:t>
      </w:r>
      <w:r>
        <w:t>the</w:t>
      </w:r>
      <w:r>
        <w:rPr>
          <w:spacing w:val="-7"/>
        </w:rPr>
        <w:t xml:space="preserve"> </w:t>
      </w:r>
      <w:r>
        <w:t>relationships</w:t>
      </w:r>
      <w:r>
        <w:rPr>
          <w:spacing w:val="-4"/>
        </w:rPr>
        <w:t xml:space="preserve"> </w:t>
      </w:r>
      <w:r>
        <w:t>involving service</w:t>
      </w:r>
      <w:r>
        <w:rPr>
          <w:spacing w:val="-11"/>
        </w:rPr>
        <w:t xml:space="preserve"> </w:t>
      </w:r>
      <w:r>
        <w:t>climate,</w:t>
      </w:r>
      <w:r>
        <w:rPr>
          <w:spacing w:val="-12"/>
        </w:rPr>
        <w:t xml:space="preserve"> </w:t>
      </w:r>
      <w:r>
        <w:t>its</w:t>
      </w:r>
      <w:r>
        <w:rPr>
          <w:spacing w:val="-13"/>
        </w:rPr>
        <w:t xml:space="preserve"> </w:t>
      </w:r>
      <w:r>
        <w:t>drivers</w:t>
      </w:r>
      <w:r>
        <w:rPr>
          <w:spacing w:val="-9"/>
        </w:rPr>
        <w:t xml:space="preserve"> </w:t>
      </w:r>
      <w:r>
        <w:t>and</w:t>
      </w:r>
      <w:r>
        <w:rPr>
          <w:spacing w:val="-14"/>
        </w:rPr>
        <w:t xml:space="preserve"> </w:t>
      </w:r>
      <w:r>
        <w:t>outcomes</w:t>
      </w:r>
      <w:r>
        <w:rPr>
          <w:spacing w:val="-14"/>
        </w:rPr>
        <w:t xml:space="preserve"> </w:t>
      </w:r>
      <w:r>
        <w:t>by</w:t>
      </w:r>
      <w:r>
        <w:rPr>
          <w:spacing w:val="-13"/>
        </w:rPr>
        <w:t xml:space="preserve"> </w:t>
      </w:r>
      <w:r>
        <w:t>using</w:t>
      </w:r>
      <w:r>
        <w:rPr>
          <w:spacing w:val="-13"/>
        </w:rPr>
        <w:t xml:space="preserve"> </w:t>
      </w:r>
      <w:r>
        <w:t>other</w:t>
      </w:r>
      <w:r>
        <w:rPr>
          <w:spacing w:val="-12"/>
        </w:rPr>
        <w:t xml:space="preserve"> </w:t>
      </w:r>
      <w:r>
        <w:t>variables</w:t>
      </w:r>
      <w:r>
        <w:rPr>
          <w:spacing w:val="-10"/>
        </w:rPr>
        <w:t xml:space="preserve"> </w:t>
      </w:r>
      <w:r>
        <w:t>such</w:t>
      </w:r>
      <w:r>
        <w:rPr>
          <w:spacing w:val="-14"/>
        </w:rPr>
        <w:t xml:space="preserve"> </w:t>
      </w:r>
      <w:r>
        <w:t>as</w:t>
      </w:r>
      <w:r>
        <w:rPr>
          <w:spacing w:val="-14"/>
        </w:rPr>
        <w:t xml:space="preserve"> </w:t>
      </w:r>
      <w:r>
        <w:t>employee characteristics</w:t>
      </w:r>
      <w:r>
        <w:rPr>
          <w:spacing w:val="-19"/>
        </w:rPr>
        <w:t xml:space="preserve"> </w:t>
      </w:r>
      <w:r>
        <w:t>(i.e.</w:t>
      </w:r>
      <w:r>
        <w:rPr>
          <w:spacing w:val="-16"/>
        </w:rPr>
        <w:t xml:space="preserve"> </w:t>
      </w:r>
      <w:r>
        <w:t>employee</w:t>
      </w:r>
      <w:r>
        <w:rPr>
          <w:spacing w:val="-16"/>
        </w:rPr>
        <w:t xml:space="preserve"> </w:t>
      </w:r>
      <w:r>
        <w:t>experience,</w:t>
      </w:r>
      <w:r>
        <w:rPr>
          <w:spacing w:val="-16"/>
        </w:rPr>
        <w:t xml:space="preserve"> </w:t>
      </w:r>
      <w:r>
        <w:t>employee</w:t>
      </w:r>
      <w:r>
        <w:rPr>
          <w:spacing w:val="-17"/>
        </w:rPr>
        <w:t xml:space="preserve"> </w:t>
      </w:r>
      <w:r>
        <w:t>personalities),</w:t>
      </w:r>
      <w:r>
        <w:rPr>
          <w:spacing w:val="-17"/>
        </w:rPr>
        <w:t xml:space="preserve"> </w:t>
      </w:r>
      <w:r>
        <w:t>customer</w:t>
      </w:r>
      <w:r>
        <w:rPr>
          <w:spacing w:val="-16"/>
        </w:rPr>
        <w:t xml:space="preserve"> </w:t>
      </w:r>
      <w:r>
        <w:t>brand, and customer relationship management. The inclusion of these variables in the framework</w:t>
      </w:r>
      <w:r>
        <w:rPr>
          <w:spacing w:val="-6"/>
        </w:rPr>
        <w:t xml:space="preserve"> </w:t>
      </w:r>
      <w:r>
        <w:t>would</w:t>
      </w:r>
      <w:r>
        <w:rPr>
          <w:spacing w:val="-9"/>
        </w:rPr>
        <w:t xml:space="preserve"> </w:t>
      </w:r>
      <w:r>
        <w:t>help</w:t>
      </w:r>
      <w:r>
        <w:rPr>
          <w:spacing w:val="-8"/>
        </w:rPr>
        <w:t xml:space="preserve"> </w:t>
      </w:r>
      <w:r>
        <w:t>researchers</w:t>
      </w:r>
      <w:r>
        <w:rPr>
          <w:spacing w:val="-11"/>
        </w:rPr>
        <w:t xml:space="preserve"> </w:t>
      </w:r>
      <w:r>
        <w:t>draw</w:t>
      </w:r>
      <w:r>
        <w:rPr>
          <w:spacing w:val="-11"/>
        </w:rPr>
        <w:t xml:space="preserve"> </w:t>
      </w:r>
      <w:r>
        <w:t>a</w:t>
      </w:r>
      <w:r>
        <w:rPr>
          <w:spacing w:val="-9"/>
        </w:rPr>
        <w:t xml:space="preserve"> </w:t>
      </w:r>
      <w:r>
        <w:t>broader</w:t>
      </w:r>
      <w:r>
        <w:rPr>
          <w:spacing w:val="-7"/>
        </w:rPr>
        <w:t xml:space="preserve"> </w:t>
      </w:r>
      <w:r>
        <w:t>picture</w:t>
      </w:r>
      <w:r>
        <w:rPr>
          <w:spacing w:val="-9"/>
        </w:rPr>
        <w:t xml:space="preserve"> </w:t>
      </w:r>
      <w:r>
        <w:t>of</w:t>
      </w:r>
      <w:r>
        <w:rPr>
          <w:spacing w:val="-7"/>
        </w:rPr>
        <w:t xml:space="preserve"> </w:t>
      </w:r>
      <w:r>
        <w:t>the</w:t>
      </w:r>
      <w:r>
        <w:rPr>
          <w:spacing w:val="-12"/>
        </w:rPr>
        <w:t xml:space="preserve"> </w:t>
      </w:r>
      <w:r>
        <w:t>service</w:t>
      </w:r>
      <w:r>
        <w:rPr>
          <w:spacing w:val="-8"/>
        </w:rPr>
        <w:t xml:space="preserve"> </w:t>
      </w:r>
      <w:r>
        <w:t>profit</w:t>
      </w:r>
      <w:r>
        <w:rPr>
          <w:spacing w:val="-8"/>
        </w:rPr>
        <w:t xml:space="preserve"> </w:t>
      </w:r>
      <w:r>
        <w:t>chain that links the antecedents and the outcomes of service</w:t>
      </w:r>
      <w:r>
        <w:rPr>
          <w:spacing w:val="-10"/>
        </w:rPr>
        <w:t xml:space="preserve"> </w:t>
      </w:r>
      <w:r>
        <w:t>climate.</w:t>
      </w:r>
    </w:p>
    <w:p w:rsidR="00BF4029" w:rsidRDefault="00BF4029">
      <w:pPr>
        <w:pStyle w:val="BodyText"/>
        <w:spacing w:before="8"/>
        <w:rPr>
          <w:sz w:val="32"/>
        </w:rPr>
      </w:pPr>
    </w:p>
    <w:p w:rsidR="00BF4029" w:rsidRDefault="00A24DEF">
      <w:pPr>
        <w:pStyle w:val="Heading1"/>
        <w:jc w:val="left"/>
      </w:pPr>
      <w:r>
        <w:t>References</w:t>
      </w:r>
    </w:p>
    <w:p w:rsidR="00BF4029" w:rsidRDefault="00A24DEF">
      <w:pPr>
        <w:spacing w:before="129"/>
        <w:ind w:left="104" w:right="513"/>
      </w:pPr>
      <w:r>
        <w:t xml:space="preserve">Aiken, L. S. &amp; West, S. G. (1991). </w:t>
      </w:r>
      <w:r>
        <w:rPr>
          <w:i/>
        </w:rPr>
        <w:t>Multiple Regression: testing and Interpreting Interactions</w:t>
      </w:r>
      <w:r>
        <w:t>. Newbury Park: Sage Publications.</w:t>
      </w:r>
    </w:p>
    <w:p w:rsidR="00BF4029" w:rsidRDefault="00BF4029">
      <w:pPr>
        <w:pStyle w:val="BodyText"/>
        <w:spacing w:before="2"/>
      </w:pPr>
    </w:p>
    <w:p w:rsidR="00BF4029" w:rsidRDefault="00A24DEF">
      <w:pPr>
        <w:pStyle w:val="BodyText"/>
        <w:ind w:left="104" w:right="158"/>
      </w:pPr>
      <w:r>
        <w:t>Auh, S., Menguc, B., Fisher, M. &amp; Haddad, A. (2011). The perceived autonomy- perceived service climate relationship: The contin</w:t>
      </w:r>
      <w:r>
        <w:t xml:space="preserve">gency effect of store-level tenure diversity. </w:t>
      </w:r>
      <w:r>
        <w:rPr>
          <w:i/>
        </w:rPr>
        <w:t>Journal of Retailing and Consumer Services</w:t>
      </w:r>
      <w:r>
        <w:t>, 18(6), 509-520.</w:t>
      </w:r>
    </w:p>
    <w:p w:rsidR="00BF4029" w:rsidRDefault="00BF4029">
      <w:pPr>
        <w:pStyle w:val="BodyText"/>
        <w:spacing w:before="10"/>
        <w:rPr>
          <w:sz w:val="21"/>
        </w:rPr>
      </w:pPr>
    </w:p>
    <w:p w:rsidR="00BF4029" w:rsidRDefault="00A24DEF">
      <w:pPr>
        <w:pStyle w:val="BodyText"/>
        <w:ind w:left="104" w:right="476"/>
        <w:jc w:val="both"/>
      </w:pPr>
      <w:r>
        <w:t>Auh, S., Menguc, B. &amp;</w:t>
      </w:r>
      <w:r>
        <w:t xml:space="preserve"> Jung, Y. S. (2014). Unpacking the relationship between empowering leadership and service-oriented citizenship behaviors: a multilevel approach. </w:t>
      </w:r>
      <w:r>
        <w:rPr>
          <w:i/>
        </w:rPr>
        <w:t>Journal of the Academy of Marketing Science</w:t>
      </w:r>
      <w:r>
        <w:t>, DOI 10.1007/s11747- 014- 0370-0.</w:t>
      </w:r>
    </w:p>
    <w:p w:rsidR="00BF4029" w:rsidRDefault="00BF4029">
      <w:pPr>
        <w:pStyle w:val="BodyText"/>
      </w:pPr>
    </w:p>
    <w:p w:rsidR="00BF4029" w:rsidRDefault="00A24DEF">
      <w:pPr>
        <w:ind w:left="104" w:right="1198"/>
      </w:pPr>
      <w:r>
        <w:t>Baker, T. L., Rapp, A., Meyer, T</w:t>
      </w:r>
      <w:r>
        <w:t xml:space="preserve">. &amp; Mullins, R. (2014). The role of brand communications on front line service employee beliefs, behaviors, and performance. </w:t>
      </w:r>
      <w:r>
        <w:rPr>
          <w:i/>
        </w:rPr>
        <w:t>Journal of the Academy of Marketing Science</w:t>
      </w:r>
      <w:r>
        <w:t>, 1-16.</w:t>
      </w:r>
    </w:p>
    <w:p w:rsidR="00BF4029" w:rsidRDefault="00BF4029">
      <w:pPr>
        <w:sectPr w:rsidR="00BF4029">
          <w:pgSz w:w="9980" w:h="14180"/>
          <w:pgMar w:top="1240" w:right="840" w:bottom="1100" w:left="860" w:header="625" w:footer="911" w:gutter="0"/>
          <w:cols w:space="720"/>
        </w:sectPr>
      </w:pPr>
    </w:p>
    <w:p w:rsidR="00BF4029" w:rsidRDefault="00A24DEF">
      <w:pPr>
        <w:spacing w:before="87"/>
        <w:ind w:left="104"/>
      </w:pPr>
      <w:r>
        <w:lastRenderedPageBreak/>
        <w:t>Barnes, D. C. &amp; Collier, J. E. (2013). Investigating work enga</w:t>
      </w:r>
      <w:r>
        <w:t xml:space="preserve">gement in the service environment. </w:t>
      </w:r>
      <w:r>
        <w:rPr>
          <w:i/>
        </w:rPr>
        <w:t>Journal of Services Marketing</w:t>
      </w:r>
      <w:r>
        <w:t>, 27(6), 485-499.</w:t>
      </w:r>
    </w:p>
    <w:p w:rsidR="00BF4029" w:rsidRDefault="00BF4029">
      <w:pPr>
        <w:pStyle w:val="BodyText"/>
        <w:spacing w:before="11"/>
        <w:rPr>
          <w:sz w:val="21"/>
        </w:rPr>
      </w:pPr>
    </w:p>
    <w:p w:rsidR="00BF4029" w:rsidRDefault="00A24DEF">
      <w:pPr>
        <w:pStyle w:val="BodyText"/>
        <w:ind w:left="104" w:right="305"/>
      </w:pPr>
      <w:r>
        <w:t xml:space="preserve">Baron, R. M. &amp; Kenny, D. A. (1986). The moderator–mediator variable distinction in social psychological research: Conceptual, strategic, and statistical considerations. </w:t>
      </w:r>
      <w:r>
        <w:rPr>
          <w:i/>
        </w:rPr>
        <w:t>Jour</w:t>
      </w:r>
      <w:r>
        <w:rPr>
          <w:i/>
        </w:rPr>
        <w:t>nal of personality and social psychology</w:t>
      </w:r>
      <w:r>
        <w:t>, 51(6), 1173.</w:t>
      </w:r>
    </w:p>
    <w:p w:rsidR="00BF4029" w:rsidRDefault="00BF4029">
      <w:pPr>
        <w:pStyle w:val="BodyText"/>
        <w:spacing w:before="1"/>
      </w:pPr>
    </w:p>
    <w:p w:rsidR="00BF4029" w:rsidRDefault="00A24DEF">
      <w:pPr>
        <w:ind w:left="104" w:right="1001"/>
      </w:pPr>
      <w:r>
        <w:t xml:space="preserve">Bendapudi, N. &amp; Bendapudi, V. (2005). Creating the living brand. </w:t>
      </w:r>
      <w:r>
        <w:rPr>
          <w:i/>
        </w:rPr>
        <w:t>Harvard Business Review</w:t>
      </w:r>
      <w:r>
        <w:t>, 83(5), 124-132.</w:t>
      </w:r>
    </w:p>
    <w:p w:rsidR="00BF4029" w:rsidRDefault="00BF4029">
      <w:pPr>
        <w:pStyle w:val="BodyText"/>
      </w:pPr>
    </w:p>
    <w:p w:rsidR="00BF4029" w:rsidRDefault="00A24DEF">
      <w:pPr>
        <w:ind w:left="104" w:right="109"/>
      </w:pPr>
      <w:r>
        <w:t xml:space="preserve">Blau, P. M. (1968). </w:t>
      </w:r>
      <w:r>
        <w:rPr>
          <w:i/>
        </w:rPr>
        <w:t xml:space="preserve">Social exchange. In D. L. Sills </w:t>
      </w:r>
      <w:r>
        <w:t>(Ed.), International Encyclopedia of the Social Sciences (Vol. 7): MacMillan. New York, pp. 452-458</w:t>
      </w:r>
    </w:p>
    <w:p w:rsidR="00BF4029" w:rsidRDefault="00BF4029">
      <w:pPr>
        <w:pStyle w:val="BodyText"/>
        <w:spacing w:before="11"/>
        <w:rPr>
          <w:sz w:val="21"/>
        </w:rPr>
      </w:pPr>
    </w:p>
    <w:p w:rsidR="00BF4029" w:rsidRDefault="00A24DEF">
      <w:pPr>
        <w:ind w:left="104" w:right="354"/>
      </w:pPr>
      <w:r>
        <w:t xml:space="preserve">Bowen, D., Schneider, B. &amp; Kim, S. (2000). </w:t>
      </w:r>
      <w:r>
        <w:rPr>
          <w:i/>
        </w:rPr>
        <w:t xml:space="preserve">Shaping service cultures through strategic human resource management. In T. A. Swartz and D. Iacobucci </w:t>
      </w:r>
      <w:r>
        <w:t>(Eds.), H</w:t>
      </w:r>
      <w:r>
        <w:t>andbook of Services Marketing &amp; Management: Sage Publications. Thousand Oaks, CA, pp. 439-454</w:t>
      </w:r>
    </w:p>
    <w:p w:rsidR="00BF4029" w:rsidRDefault="00BF4029">
      <w:pPr>
        <w:pStyle w:val="BodyText"/>
      </w:pPr>
    </w:p>
    <w:p w:rsidR="00BF4029" w:rsidRDefault="00A24DEF">
      <w:pPr>
        <w:ind w:left="104" w:right="574"/>
      </w:pPr>
      <w:r>
        <w:t xml:space="preserve">Bowen, D. E. &amp; Schneider, B. (2014). A Service Climate Synthesis and Future Research Agenda. </w:t>
      </w:r>
      <w:r>
        <w:rPr>
          <w:i/>
        </w:rPr>
        <w:t>Journal of Service Research</w:t>
      </w:r>
      <w:r>
        <w:t>, 17(1), 5-22.</w:t>
      </w:r>
    </w:p>
    <w:p w:rsidR="00BF4029" w:rsidRDefault="00BF4029">
      <w:pPr>
        <w:pStyle w:val="BodyText"/>
      </w:pPr>
    </w:p>
    <w:p w:rsidR="00BF4029" w:rsidRDefault="00A24DEF">
      <w:pPr>
        <w:pStyle w:val="BodyText"/>
        <w:ind w:left="104" w:right="659"/>
      </w:pPr>
      <w:r>
        <w:t xml:space="preserve">Burmann, C. &amp; Zeplin, S. </w:t>
      </w:r>
      <w:r>
        <w:t xml:space="preserve">(2005). Building brand commitment: A behavioural approach to internal brand management. </w:t>
      </w:r>
      <w:r>
        <w:rPr>
          <w:i/>
        </w:rPr>
        <w:t>The Journal of Brand Management</w:t>
      </w:r>
      <w:r>
        <w:t>, 12(4), 279-300.</w:t>
      </w:r>
    </w:p>
    <w:p w:rsidR="00BF4029" w:rsidRDefault="00BF4029">
      <w:pPr>
        <w:pStyle w:val="BodyText"/>
      </w:pPr>
    </w:p>
    <w:p w:rsidR="00BF4029" w:rsidRDefault="00A24DEF">
      <w:pPr>
        <w:pStyle w:val="BodyText"/>
        <w:spacing w:before="1"/>
        <w:ind w:left="104" w:right="586"/>
      </w:pPr>
      <w:r>
        <w:t>Burmann, C., Zeplin, S. &amp; Riley, N. (2009). Key determinants of internal brand management success: An exploratory empi</w:t>
      </w:r>
      <w:r>
        <w:t xml:space="preserve">rical analysis. </w:t>
      </w:r>
      <w:r>
        <w:rPr>
          <w:i/>
        </w:rPr>
        <w:t>Journal of Brand Management</w:t>
      </w:r>
      <w:r>
        <w:t>, 16(4), 264-284.</w:t>
      </w:r>
    </w:p>
    <w:p w:rsidR="00BF4029" w:rsidRDefault="00BF4029">
      <w:pPr>
        <w:pStyle w:val="BodyText"/>
      </w:pPr>
    </w:p>
    <w:p w:rsidR="00BF4029" w:rsidRDefault="00A24DEF">
      <w:pPr>
        <w:pStyle w:val="BodyText"/>
        <w:spacing w:before="1"/>
        <w:ind w:left="104" w:right="232"/>
      </w:pPr>
      <w:r>
        <w:t xml:space="preserve">Chan, K. W. &amp; Lam, W. (2011). The trade-off of servicing empowerment on employees’ service performance: examining the underlying motivation and workload mechanisms. </w:t>
      </w:r>
      <w:r>
        <w:rPr>
          <w:i/>
        </w:rPr>
        <w:t>Journal of the Academy of Mar</w:t>
      </w:r>
      <w:r>
        <w:rPr>
          <w:i/>
        </w:rPr>
        <w:t>keting Science</w:t>
      </w:r>
      <w:r>
        <w:t>, 39(4), 609- 628.</w:t>
      </w:r>
    </w:p>
    <w:p w:rsidR="00BF4029" w:rsidRDefault="00BF4029">
      <w:pPr>
        <w:pStyle w:val="BodyText"/>
      </w:pPr>
    </w:p>
    <w:p w:rsidR="00BF4029" w:rsidRDefault="00A24DEF">
      <w:pPr>
        <w:pStyle w:val="BodyText"/>
        <w:ind w:left="104" w:right="256"/>
      </w:pPr>
      <w:r>
        <w:t xml:space="preserve">Chang, A., Chiang, H.-H. &amp; Han, T.-S. (2012). A multilevel investigation of relationships among brand-centered HRM, brand psychological ownership, brand citizenship behaviors, and customer satisfaction. </w:t>
      </w:r>
      <w:r>
        <w:rPr>
          <w:i/>
        </w:rPr>
        <w:t>European Journal of</w:t>
      </w:r>
      <w:r>
        <w:rPr>
          <w:i/>
        </w:rPr>
        <w:t xml:space="preserve"> Marketing</w:t>
      </w:r>
      <w:r>
        <w:t>, 46(5), 626-662.</w:t>
      </w:r>
    </w:p>
    <w:p w:rsidR="00BF4029" w:rsidRDefault="00BF4029">
      <w:pPr>
        <w:pStyle w:val="BodyText"/>
      </w:pPr>
    </w:p>
    <w:p w:rsidR="00BF4029" w:rsidRDefault="00A24DEF">
      <w:pPr>
        <w:ind w:left="104" w:right="183"/>
      </w:pPr>
      <w:r>
        <w:t xml:space="preserve">Chuang, C. &amp; Liao, H. (2010). </w:t>
      </w:r>
      <w:r>
        <w:rPr>
          <w:i/>
        </w:rPr>
        <w:t>Strategic Human Resource Management in Service Context: Taking care of Business by Taking Care of Employees and Customers Personnel Psychology</w:t>
      </w:r>
      <w:r>
        <w:t>, 63(1), 153-196.</w:t>
      </w:r>
    </w:p>
    <w:p w:rsidR="00BF4029" w:rsidRDefault="00BF4029">
      <w:pPr>
        <w:pStyle w:val="BodyText"/>
        <w:spacing w:before="10"/>
        <w:rPr>
          <w:sz w:val="21"/>
        </w:rPr>
      </w:pPr>
    </w:p>
    <w:p w:rsidR="00BF4029" w:rsidRDefault="00A24DEF">
      <w:pPr>
        <w:pStyle w:val="BodyText"/>
        <w:ind w:left="104" w:right="476"/>
      </w:pPr>
      <w:r>
        <w:t>Colwell, S., Hogarth-Scott, S., Jian</w:t>
      </w:r>
      <w:r>
        <w:t xml:space="preserve">g, D. &amp; Joshi, A. (2009). Effects of organizational and serviceperson orientation on customer loyalty. </w:t>
      </w:r>
      <w:r>
        <w:rPr>
          <w:i/>
        </w:rPr>
        <w:t>Management Decision</w:t>
      </w:r>
      <w:r>
        <w:t>, 47(10), 1489-1513.</w:t>
      </w:r>
    </w:p>
    <w:p w:rsidR="00BF4029" w:rsidRDefault="00BF4029">
      <w:pPr>
        <w:sectPr w:rsidR="00BF4029">
          <w:pgSz w:w="9980" w:h="14180"/>
          <w:pgMar w:top="1240" w:right="840" w:bottom="1100" w:left="860" w:header="625" w:footer="911" w:gutter="0"/>
          <w:cols w:space="720"/>
        </w:sectPr>
      </w:pPr>
    </w:p>
    <w:p w:rsidR="00BF4029" w:rsidRDefault="00BF4029">
      <w:pPr>
        <w:pStyle w:val="BodyText"/>
        <w:spacing w:before="4"/>
        <w:rPr>
          <w:sz w:val="21"/>
        </w:rPr>
      </w:pPr>
    </w:p>
    <w:p w:rsidR="00BF4029" w:rsidRDefault="00A24DEF">
      <w:pPr>
        <w:pStyle w:val="BodyText"/>
        <w:spacing w:before="94"/>
        <w:ind w:left="104" w:right="129"/>
        <w:jc w:val="both"/>
      </w:pPr>
      <w:r>
        <w:t>Conduit, J. &amp;</w:t>
      </w:r>
      <w:r>
        <w:t xml:space="preserve"> Mavondo, F. T. (2001). How critical is internal customer orientation to market orientation? </w:t>
      </w:r>
      <w:r>
        <w:rPr>
          <w:i/>
        </w:rPr>
        <w:t>Journal of Business Research</w:t>
      </w:r>
      <w:r>
        <w:t>, 51(1), 11-24.</w:t>
      </w:r>
    </w:p>
    <w:p w:rsidR="00BF4029" w:rsidRDefault="00BF4029">
      <w:pPr>
        <w:pStyle w:val="BodyText"/>
        <w:spacing w:before="1"/>
      </w:pPr>
    </w:p>
    <w:p w:rsidR="00BF4029" w:rsidRDefault="00A24DEF">
      <w:pPr>
        <w:pStyle w:val="BodyText"/>
        <w:ind w:left="104" w:right="218"/>
        <w:jc w:val="both"/>
      </w:pPr>
      <w:r>
        <w:t>de Jong, A., de Ruyter, K. &amp; Lemmink, J. (2004). Antecedents and consequences of the service climate in boundary-spann</w:t>
      </w:r>
      <w:r>
        <w:t xml:space="preserve">ing self-managing service teams. </w:t>
      </w:r>
      <w:r>
        <w:rPr>
          <w:i/>
        </w:rPr>
        <w:t>Journal of Marketing</w:t>
      </w:r>
      <w:r>
        <w:t>, 68(2), 18-35.</w:t>
      </w:r>
    </w:p>
    <w:p w:rsidR="00BF4029" w:rsidRDefault="00BF4029">
      <w:pPr>
        <w:pStyle w:val="BodyText"/>
        <w:spacing w:before="10"/>
        <w:rPr>
          <w:sz w:val="21"/>
        </w:rPr>
      </w:pPr>
    </w:p>
    <w:p w:rsidR="00BF4029" w:rsidRDefault="00A24DEF">
      <w:pPr>
        <w:pStyle w:val="BodyText"/>
        <w:ind w:left="104" w:right="125"/>
      </w:pPr>
      <w:r>
        <w:t>de Jong, A., de Ruyter, K. &amp; Lemmink, J. (2005). Service Climate in Self-Managing Teams: Mapping the Linkage of Team Member Perceptions and Service Performance Outcomes in a Business-to-</w:t>
      </w:r>
      <w:r>
        <w:t xml:space="preserve">Business Setting. </w:t>
      </w:r>
      <w:r>
        <w:rPr>
          <w:i/>
        </w:rPr>
        <w:t>Journal of Management Studies</w:t>
      </w:r>
      <w:r>
        <w:t>, 42(8),</w:t>
      </w:r>
      <w:r>
        <w:rPr>
          <w:spacing w:val="-1"/>
        </w:rPr>
        <w:t xml:space="preserve"> </w:t>
      </w:r>
      <w:r>
        <w:t>1593-1620.</w:t>
      </w:r>
    </w:p>
    <w:p w:rsidR="00BF4029" w:rsidRDefault="00BF4029">
      <w:pPr>
        <w:pStyle w:val="BodyText"/>
        <w:spacing w:before="1"/>
      </w:pPr>
    </w:p>
    <w:p w:rsidR="00BF4029" w:rsidRDefault="00A24DEF">
      <w:pPr>
        <w:ind w:left="104" w:right="281"/>
      </w:pPr>
      <w:r>
        <w:t xml:space="preserve">de Paula, M. F. (2012). </w:t>
      </w:r>
      <w:r>
        <w:rPr>
          <w:i/>
        </w:rPr>
        <w:t>Trade in services: New growth opportunities - Tourism as an internationally traded service</w:t>
      </w:r>
      <w:r>
        <w:t xml:space="preserve">. Retrieved 9 November 2014, 2014, from </w:t>
      </w:r>
      <w:hyperlink r:id="rId12">
        <w:r>
          <w:t>http://unctadxiii.org/en/Presentation/uxiii2012GSF_S1_Favilla.pdf</w:t>
        </w:r>
      </w:hyperlink>
    </w:p>
    <w:p w:rsidR="00BF4029" w:rsidRDefault="00BF4029">
      <w:pPr>
        <w:pStyle w:val="BodyText"/>
        <w:spacing w:before="1"/>
      </w:pPr>
    </w:p>
    <w:p w:rsidR="00BF4029" w:rsidRDefault="00A24DEF">
      <w:pPr>
        <w:pStyle w:val="BodyText"/>
        <w:ind w:left="104" w:right="326"/>
        <w:jc w:val="both"/>
      </w:pPr>
      <w:r>
        <w:t>Delcourt, C., Gremler, D. D., van Riel, A. C. &amp; van Birgelen, M. (2013). Effects of perceived employee emotional competence on customer sa</w:t>
      </w:r>
      <w:r>
        <w:t>tisfaction and</w:t>
      </w:r>
      <w:r>
        <w:rPr>
          <w:spacing w:val="-20"/>
        </w:rPr>
        <w:t xml:space="preserve"> </w:t>
      </w:r>
      <w:r>
        <w:t xml:space="preserve">loyalty: The mediating role of rapport. </w:t>
      </w:r>
      <w:r>
        <w:rPr>
          <w:i/>
        </w:rPr>
        <w:t>Journal of Service Management</w:t>
      </w:r>
      <w:r>
        <w:t>, 24(1),</w:t>
      </w:r>
      <w:r>
        <w:rPr>
          <w:spacing w:val="-13"/>
        </w:rPr>
        <w:t xml:space="preserve"> </w:t>
      </w:r>
      <w:r>
        <w:t>5-24.</w:t>
      </w:r>
    </w:p>
    <w:p w:rsidR="00BF4029" w:rsidRDefault="00BF4029">
      <w:pPr>
        <w:pStyle w:val="BodyText"/>
        <w:spacing w:before="10"/>
        <w:rPr>
          <w:sz w:val="21"/>
        </w:rPr>
      </w:pPr>
    </w:p>
    <w:p w:rsidR="00BF4029" w:rsidRDefault="00A24DEF">
      <w:pPr>
        <w:pStyle w:val="BodyText"/>
        <w:ind w:left="104" w:right="378"/>
      </w:pPr>
      <w:r>
        <w:t xml:space="preserve">Dhar, R. L. (2015). Service quality and the training of employees: The mediating role of organizational commitment. </w:t>
      </w:r>
      <w:r>
        <w:rPr>
          <w:i/>
        </w:rPr>
        <w:t>Tourism Management</w:t>
      </w:r>
      <w:r>
        <w:t>, 46, 419-430.</w:t>
      </w:r>
    </w:p>
    <w:p w:rsidR="00BF4029" w:rsidRDefault="00A24DEF">
      <w:pPr>
        <w:pStyle w:val="BodyText"/>
        <w:spacing w:before="1"/>
        <w:ind w:left="104" w:right="207"/>
      </w:pPr>
      <w:r>
        <w:t xml:space="preserve">Drach-Zahavy, A. &amp; Somech, A. (2013). Linking task and goal interdependence to quality service: The role of the service climate. </w:t>
      </w:r>
      <w:r>
        <w:rPr>
          <w:i/>
        </w:rPr>
        <w:t>Journal of Service Management</w:t>
      </w:r>
      <w:r>
        <w:t>, 24(2), 151-169.</w:t>
      </w:r>
    </w:p>
    <w:p w:rsidR="00BF4029" w:rsidRDefault="00BF4029">
      <w:pPr>
        <w:pStyle w:val="BodyText"/>
      </w:pPr>
    </w:p>
    <w:p w:rsidR="00BF4029" w:rsidRDefault="00A24DEF">
      <w:pPr>
        <w:pStyle w:val="BodyText"/>
        <w:spacing w:before="1"/>
        <w:ind w:left="104" w:right="354"/>
      </w:pPr>
      <w:r>
        <w:t>Fornell, C. &amp; Larcker, D. F. (1981). Evaluating structural equation models with</w:t>
      </w:r>
      <w:r>
        <w:t xml:space="preserve"> unobservable variables and measurement error. </w:t>
      </w:r>
      <w:r>
        <w:rPr>
          <w:i/>
        </w:rPr>
        <w:t>Journal of Marketing Research</w:t>
      </w:r>
      <w:r>
        <w:t>, 18(1), 39-50.</w:t>
      </w:r>
    </w:p>
    <w:p w:rsidR="00BF4029" w:rsidRDefault="00BF4029">
      <w:pPr>
        <w:pStyle w:val="BodyText"/>
        <w:spacing w:before="1"/>
      </w:pPr>
    </w:p>
    <w:p w:rsidR="00BF4029" w:rsidRDefault="00A24DEF">
      <w:pPr>
        <w:ind w:left="104" w:right="525"/>
      </w:pPr>
      <w:r>
        <w:t xml:space="preserve">Gamble, J. &amp; Tian, A. W. (2012). Intra-national Variation in Organizational Commitment: Evidence from the Chinese Context. </w:t>
      </w:r>
      <w:r>
        <w:rPr>
          <w:i/>
        </w:rPr>
        <w:t xml:space="preserve">The International Journal of </w:t>
      </w:r>
      <w:r>
        <w:rPr>
          <w:i/>
        </w:rPr>
        <w:t>Human Resource Management</w:t>
      </w:r>
      <w:r>
        <w:t>, DOI:10.1080/09585192.2012.722122.</w:t>
      </w:r>
    </w:p>
    <w:p w:rsidR="00BF4029" w:rsidRDefault="00BF4029">
      <w:pPr>
        <w:pStyle w:val="BodyText"/>
        <w:spacing w:before="10"/>
        <w:rPr>
          <w:sz w:val="21"/>
        </w:rPr>
      </w:pPr>
    </w:p>
    <w:p w:rsidR="00BF4029" w:rsidRDefault="00A24DEF">
      <w:pPr>
        <w:ind w:left="104" w:right="452"/>
      </w:pPr>
      <w:r>
        <w:t xml:space="preserve">Glisson, C. &amp; James, L. (2002). The cross-level effects of culture and climate in human service teams. </w:t>
      </w:r>
      <w:r>
        <w:rPr>
          <w:i/>
        </w:rPr>
        <w:t>Journal of Organizational Behavior</w:t>
      </w:r>
      <w:r>
        <w:t>, 23(6), 767-794.</w:t>
      </w:r>
    </w:p>
    <w:p w:rsidR="00BF4029" w:rsidRDefault="00BF4029">
      <w:pPr>
        <w:pStyle w:val="BodyText"/>
        <w:spacing w:before="11"/>
        <w:rPr>
          <w:sz w:val="21"/>
        </w:rPr>
      </w:pPr>
    </w:p>
    <w:p w:rsidR="00BF4029" w:rsidRDefault="00A24DEF">
      <w:pPr>
        <w:pStyle w:val="BodyText"/>
        <w:ind w:left="104" w:right="414"/>
      </w:pPr>
      <w:r>
        <w:t>Goodwin, R. E., Groth, M. &amp; Frenkel, S</w:t>
      </w:r>
      <w:r>
        <w:t xml:space="preserve">. J. (2011). Relationships between emotional labor, job performance, and turnover. </w:t>
      </w:r>
      <w:r>
        <w:rPr>
          <w:i/>
        </w:rPr>
        <w:t>Journal of Vocational Behavior</w:t>
      </w:r>
      <w:r>
        <w:t>, 79(2), 538-548.</w:t>
      </w:r>
    </w:p>
    <w:p w:rsidR="00BF4029" w:rsidRDefault="00BF4029">
      <w:pPr>
        <w:pStyle w:val="BodyText"/>
        <w:spacing w:before="1"/>
      </w:pPr>
    </w:p>
    <w:p w:rsidR="00BF4029" w:rsidRDefault="00A24DEF">
      <w:pPr>
        <w:ind w:left="104" w:right="628"/>
        <w:jc w:val="both"/>
      </w:pPr>
      <w:r>
        <w:t>Gould-Williams, J. (2007). HR practices, organizational climate and employee outcomes: evaluating social exchange relationsh</w:t>
      </w:r>
      <w:r>
        <w:t xml:space="preserve">ips in local government. </w:t>
      </w:r>
      <w:r>
        <w:rPr>
          <w:i/>
        </w:rPr>
        <w:t>The International Journal of Human Resource Management</w:t>
      </w:r>
      <w:r>
        <w:t>, 18(9), 1627-1647.</w:t>
      </w:r>
    </w:p>
    <w:p w:rsidR="00BF4029" w:rsidRDefault="00BF4029">
      <w:pPr>
        <w:jc w:val="both"/>
        <w:sectPr w:rsidR="00BF4029">
          <w:pgSz w:w="9980" w:h="14180"/>
          <w:pgMar w:top="1240" w:right="840" w:bottom="1100" w:left="860" w:header="625" w:footer="911" w:gutter="0"/>
          <w:cols w:space="720"/>
        </w:sectPr>
      </w:pPr>
    </w:p>
    <w:p w:rsidR="00BF4029" w:rsidRDefault="00A24DEF">
      <w:pPr>
        <w:pStyle w:val="BodyText"/>
        <w:spacing w:before="87"/>
        <w:ind w:left="104" w:right="353"/>
      </w:pPr>
      <w:r>
        <w:lastRenderedPageBreak/>
        <w:t xml:space="preserve">Gracia, E., Cifre, E. &amp; Grau, R. (2010). Service quality: The key role of service climate and service behavior of boundary employee units. </w:t>
      </w:r>
      <w:r>
        <w:rPr>
          <w:i/>
        </w:rPr>
        <w:t>Group &amp; Organization Management</w:t>
      </w:r>
      <w:r>
        <w:t>, 35(3), 276-298.</w:t>
      </w:r>
    </w:p>
    <w:p w:rsidR="00BF4029" w:rsidRDefault="00BF4029">
      <w:pPr>
        <w:pStyle w:val="BodyText"/>
        <w:spacing w:before="1"/>
      </w:pPr>
    </w:p>
    <w:p w:rsidR="00BF4029" w:rsidRDefault="00A24DEF">
      <w:pPr>
        <w:pStyle w:val="BodyText"/>
        <w:ind w:left="104" w:right="158"/>
      </w:pPr>
      <w:r>
        <w:t xml:space="preserve">Grewal, R., &amp; Tansuhaj, P. (2001). Building organizational capabilities for managing conomic crisis: The role of market orientation and strategic flexibility. </w:t>
      </w:r>
      <w:r>
        <w:rPr>
          <w:i/>
        </w:rPr>
        <w:t>The Journal of Marketing</w:t>
      </w:r>
      <w:r>
        <w:t>, 65(2), 67-80.</w:t>
      </w:r>
    </w:p>
    <w:p w:rsidR="00BF4029" w:rsidRDefault="00BF4029">
      <w:pPr>
        <w:pStyle w:val="BodyText"/>
        <w:spacing w:before="10"/>
        <w:rPr>
          <w:sz w:val="21"/>
        </w:rPr>
      </w:pPr>
    </w:p>
    <w:p w:rsidR="00BF4029" w:rsidRDefault="00A24DEF">
      <w:pPr>
        <w:pStyle w:val="BodyText"/>
        <w:ind w:left="104"/>
      </w:pPr>
      <w:r>
        <w:t>Griffi</w:t>
      </w:r>
      <w:r>
        <w:t xml:space="preserve">n, M. &amp; Neal, A. (2000). Perceptions of safety at work: A framework for linking safety climate to safety performance, knowledge, and motivation. </w:t>
      </w:r>
      <w:r>
        <w:rPr>
          <w:i/>
        </w:rPr>
        <w:t>Journal of Occupational Health Psychology</w:t>
      </w:r>
      <w:r>
        <w:t>, 5(3), 347-358.</w:t>
      </w:r>
    </w:p>
    <w:p w:rsidR="00BF4029" w:rsidRDefault="00BF4029">
      <w:pPr>
        <w:pStyle w:val="BodyText"/>
        <w:spacing w:before="1"/>
      </w:pPr>
    </w:p>
    <w:p w:rsidR="00BF4029" w:rsidRDefault="00A24DEF">
      <w:pPr>
        <w:pStyle w:val="BodyText"/>
        <w:ind w:left="104" w:right="381"/>
      </w:pPr>
      <w:r>
        <w:t>Hartline, M. D. &amp; Ferrell, O. C. (1996). The Managem</w:t>
      </w:r>
      <w:r>
        <w:t xml:space="preserve">ent of Customer-Contact Service Employees: An Empirical Investigation. </w:t>
      </w:r>
      <w:r>
        <w:rPr>
          <w:i/>
        </w:rPr>
        <w:t>The Journal of Marketing</w:t>
      </w:r>
      <w:r>
        <w:t>, 60(4), 52-70.</w:t>
      </w:r>
    </w:p>
    <w:p w:rsidR="00BF4029" w:rsidRDefault="00BF4029">
      <w:pPr>
        <w:pStyle w:val="BodyText"/>
        <w:spacing w:before="10"/>
        <w:rPr>
          <w:sz w:val="21"/>
        </w:rPr>
      </w:pPr>
    </w:p>
    <w:p w:rsidR="00BF4029" w:rsidRDefault="00A24DEF">
      <w:pPr>
        <w:pStyle w:val="BodyText"/>
        <w:ind w:left="104" w:right="570"/>
      </w:pPr>
      <w:r>
        <w:t>Hau, L. N., Evangelista, F. &amp; Thuy, P. N. (2013). Does it pay for firms in Asia'</w:t>
      </w:r>
      <w:r>
        <w:t xml:space="preserve">s emerging markets to be market oriented? Evidence from Vietnam. </w:t>
      </w:r>
      <w:r>
        <w:rPr>
          <w:i/>
        </w:rPr>
        <w:t>Journal of Business Research</w:t>
      </w:r>
      <w:r>
        <w:t>, 66(12), 2412-2417.</w:t>
      </w:r>
    </w:p>
    <w:p w:rsidR="00BF4029" w:rsidRDefault="00BF4029">
      <w:pPr>
        <w:pStyle w:val="BodyText"/>
        <w:spacing w:before="1"/>
      </w:pPr>
    </w:p>
    <w:p w:rsidR="00BF4029" w:rsidRDefault="00A24DEF">
      <w:pPr>
        <w:pStyle w:val="BodyText"/>
        <w:ind w:left="104" w:right="219"/>
      </w:pPr>
      <w:r>
        <w:t>Hong, Y., Liao, H., Hu, J. &amp; Jiang, K. (2013). Missing link in the service profit chain: A meta-analytic review of the antecedents, consequen</w:t>
      </w:r>
      <w:r>
        <w:t xml:space="preserve">ces, and moderators of service climate. </w:t>
      </w:r>
      <w:r>
        <w:rPr>
          <w:i/>
        </w:rPr>
        <w:t>The Journal of Applied Psychology</w:t>
      </w:r>
      <w:r>
        <w:t>, 98(2), 237-267.</w:t>
      </w:r>
    </w:p>
    <w:p w:rsidR="00BF4029" w:rsidRDefault="00BF4029">
      <w:pPr>
        <w:pStyle w:val="BodyText"/>
        <w:spacing w:before="1"/>
      </w:pPr>
    </w:p>
    <w:p w:rsidR="00BF4029" w:rsidRDefault="00A24DEF">
      <w:pPr>
        <w:pStyle w:val="BodyText"/>
        <w:spacing w:before="1"/>
        <w:ind w:left="104" w:right="897"/>
        <w:jc w:val="both"/>
      </w:pPr>
      <w:r>
        <w:t xml:space="preserve">Iacobucci, D., Saldanha, N. &amp; Deng, X. (2007). A meditation on mediation: Evidence that structural equations models perform better than regressions. </w:t>
      </w:r>
      <w:r>
        <w:rPr>
          <w:i/>
        </w:rPr>
        <w:t>Journal of Cons</w:t>
      </w:r>
      <w:r>
        <w:rPr>
          <w:i/>
        </w:rPr>
        <w:t>umer Psychology</w:t>
      </w:r>
      <w:r>
        <w:t>, 17(2), 139-153.</w:t>
      </w:r>
    </w:p>
    <w:p w:rsidR="00BF4029" w:rsidRDefault="00BF4029">
      <w:pPr>
        <w:pStyle w:val="BodyText"/>
        <w:spacing w:before="9"/>
        <w:rPr>
          <w:sz w:val="21"/>
        </w:rPr>
      </w:pPr>
    </w:p>
    <w:p w:rsidR="00BF4029" w:rsidRDefault="00A24DEF">
      <w:pPr>
        <w:spacing w:before="1"/>
        <w:ind w:left="104" w:right="1051"/>
      </w:pPr>
      <w:r>
        <w:t>Jaworski, B. J. &amp; Kohli, A. K. (1993). Market orientation: antecedents and consequences</w:t>
      </w:r>
      <w:r>
        <w:rPr>
          <w:i/>
        </w:rPr>
        <w:t>. The Journal of Marketing</w:t>
      </w:r>
      <w:r>
        <w:t>, 57(3), 53-70.</w:t>
      </w:r>
    </w:p>
    <w:p w:rsidR="00BF4029" w:rsidRDefault="00BF4029">
      <w:pPr>
        <w:pStyle w:val="BodyText"/>
        <w:spacing w:before="2"/>
      </w:pPr>
    </w:p>
    <w:p w:rsidR="00BF4029" w:rsidRDefault="00A24DEF">
      <w:pPr>
        <w:pStyle w:val="BodyText"/>
        <w:ind w:left="104" w:right="982"/>
        <w:jc w:val="both"/>
      </w:pPr>
      <w:r>
        <w:t>Johnson, J. W. (1996). Linking employee perceptions of service climate to customer satisfact</w:t>
      </w:r>
      <w:r>
        <w:t xml:space="preserve">ion. </w:t>
      </w:r>
      <w:r>
        <w:rPr>
          <w:i/>
        </w:rPr>
        <w:t>Personnel Psychology</w:t>
      </w:r>
      <w:r>
        <w:t>, 49(4), 831-851.</w:t>
      </w:r>
    </w:p>
    <w:p w:rsidR="00BF4029" w:rsidRDefault="00BF4029">
      <w:pPr>
        <w:pStyle w:val="BodyText"/>
        <w:spacing w:before="11"/>
        <w:rPr>
          <w:sz w:val="21"/>
        </w:rPr>
      </w:pPr>
    </w:p>
    <w:p w:rsidR="00BF4029" w:rsidRDefault="00A24DEF">
      <w:pPr>
        <w:ind w:left="104" w:right="733"/>
      </w:pPr>
      <w:r>
        <w:t xml:space="preserve">King, C. &amp; Grace, D. (2010). Building and measuring employee-based brand equity. </w:t>
      </w:r>
      <w:r>
        <w:rPr>
          <w:i/>
        </w:rPr>
        <w:t>European Journal of Marketing</w:t>
      </w:r>
      <w:r>
        <w:t>, 44(7/8), 938-971.</w:t>
      </w:r>
    </w:p>
    <w:p w:rsidR="00BF4029" w:rsidRDefault="00BF4029">
      <w:pPr>
        <w:pStyle w:val="BodyText"/>
        <w:spacing w:before="11"/>
        <w:rPr>
          <w:sz w:val="21"/>
        </w:rPr>
      </w:pPr>
    </w:p>
    <w:p w:rsidR="00BF4029" w:rsidRDefault="00A24DEF">
      <w:pPr>
        <w:pStyle w:val="BodyText"/>
        <w:ind w:left="104" w:right="331"/>
      </w:pPr>
      <w:r>
        <w:t>King, C. &amp; Grace, D. (2012). Examining the antecedents of positive employee brand</w:t>
      </w:r>
      <w:r>
        <w:t xml:space="preserve">- related attitudes and behaviours. </w:t>
      </w:r>
      <w:r>
        <w:rPr>
          <w:i/>
        </w:rPr>
        <w:t>European Journal of Marketing</w:t>
      </w:r>
      <w:r>
        <w:t>, 46(3/4), 469-488.</w:t>
      </w:r>
    </w:p>
    <w:p w:rsidR="00BF4029" w:rsidRDefault="00BF4029">
      <w:pPr>
        <w:pStyle w:val="BodyText"/>
        <w:spacing w:before="1"/>
      </w:pPr>
    </w:p>
    <w:p w:rsidR="00BF4029" w:rsidRDefault="00A24DEF">
      <w:pPr>
        <w:ind w:left="104" w:right="525"/>
      </w:pPr>
      <w:r>
        <w:t xml:space="preserve">Kline, R. B. (2011). </w:t>
      </w:r>
      <w:r>
        <w:rPr>
          <w:i/>
        </w:rPr>
        <w:t xml:space="preserve">Principle and Practice of Structural Equation Modeling </w:t>
      </w:r>
      <w:r>
        <w:t>(3rd ed.). New York: The GuilFord Press.</w:t>
      </w:r>
    </w:p>
    <w:p w:rsidR="00BF4029" w:rsidRDefault="00BF4029">
      <w:pPr>
        <w:sectPr w:rsidR="00BF4029">
          <w:pgSz w:w="9980" w:h="14180"/>
          <w:pgMar w:top="1240" w:right="840" w:bottom="1100" w:left="860" w:header="625" w:footer="911" w:gutter="0"/>
          <w:cols w:space="720"/>
        </w:sectPr>
      </w:pPr>
    </w:p>
    <w:p w:rsidR="00BF4029" w:rsidRDefault="00A24DEF">
      <w:pPr>
        <w:spacing w:before="87"/>
        <w:ind w:left="104" w:right="186"/>
        <w:jc w:val="both"/>
      </w:pPr>
      <w:r>
        <w:lastRenderedPageBreak/>
        <w:t>Kralj, A. &amp;</w:t>
      </w:r>
      <w:r>
        <w:t xml:space="preserve"> Solnet, D. (2010). Service climate and customer satisfaction in a casino hotel: An exploratory case study. </w:t>
      </w:r>
      <w:r>
        <w:rPr>
          <w:i/>
        </w:rPr>
        <w:t>International Journal of Hospitality Management</w:t>
      </w:r>
      <w:r>
        <w:t>, DOI: 10.1016/j.ijhm.2010.1001.1005.</w:t>
      </w:r>
    </w:p>
    <w:p w:rsidR="00BF4029" w:rsidRDefault="00BF4029">
      <w:pPr>
        <w:pStyle w:val="BodyText"/>
        <w:spacing w:before="1"/>
      </w:pPr>
    </w:p>
    <w:p w:rsidR="00BF4029" w:rsidRDefault="00A24DEF">
      <w:pPr>
        <w:pStyle w:val="BodyText"/>
        <w:ind w:left="104" w:right="165"/>
      </w:pPr>
      <w:r>
        <w:t>Lages, C. R. &amp;</w:t>
      </w:r>
      <w:r>
        <w:t xml:space="preserve"> Piercy, N. F. (2012). Key Drivers of Frontline Employee Generation of Ideas for Customer Service Improvement. </w:t>
      </w:r>
      <w:r>
        <w:rPr>
          <w:i/>
        </w:rPr>
        <w:t>Journal of Service Research</w:t>
      </w:r>
      <w:r>
        <w:t>, 15(2), 215-230.</w:t>
      </w:r>
    </w:p>
    <w:p w:rsidR="00BF4029" w:rsidRDefault="00BF4029">
      <w:pPr>
        <w:pStyle w:val="BodyText"/>
        <w:spacing w:before="10"/>
        <w:rPr>
          <w:sz w:val="21"/>
        </w:rPr>
      </w:pPr>
    </w:p>
    <w:p w:rsidR="00BF4029" w:rsidRDefault="00A24DEF">
      <w:pPr>
        <w:pStyle w:val="BodyText"/>
        <w:ind w:left="104" w:right="281"/>
      </w:pPr>
      <w:r>
        <w:t>Lau, R. S. &amp; Cheung, G. W. (2012). Estimating and comparing specific mediation effects in complex l</w:t>
      </w:r>
      <w:r>
        <w:t xml:space="preserve">atent variable models. </w:t>
      </w:r>
      <w:r>
        <w:rPr>
          <w:i/>
        </w:rPr>
        <w:t>Organizational Research Methods</w:t>
      </w:r>
      <w:r>
        <w:t>, 15(1), 3-16.</w:t>
      </w:r>
    </w:p>
    <w:p w:rsidR="00BF4029" w:rsidRDefault="00BF4029">
      <w:pPr>
        <w:pStyle w:val="BodyText"/>
        <w:spacing w:before="1"/>
      </w:pPr>
    </w:p>
    <w:p w:rsidR="00BF4029" w:rsidRDefault="00A24DEF">
      <w:pPr>
        <w:pStyle w:val="BodyText"/>
        <w:ind w:left="104" w:right="183"/>
      </w:pPr>
      <w:r>
        <w:t>Liao, H. &amp; Chuang, A. (2007). Transforming service employees and climate: A multilevel, multisource examination of transformational leadership in building long- term service relationship</w:t>
      </w:r>
      <w:r>
        <w:t xml:space="preserve">s. </w:t>
      </w:r>
      <w:r>
        <w:rPr>
          <w:i/>
        </w:rPr>
        <w:t>Journal of Applied Psychology</w:t>
      </w:r>
      <w:r>
        <w:t>, 92(4), 1006-1019.</w:t>
      </w:r>
    </w:p>
    <w:p w:rsidR="00BF4029" w:rsidRDefault="00BF4029">
      <w:pPr>
        <w:pStyle w:val="BodyText"/>
        <w:spacing w:before="10"/>
        <w:rPr>
          <w:sz w:val="21"/>
        </w:rPr>
      </w:pPr>
    </w:p>
    <w:p w:rsidR="00BF4029" w:rsidRDefault="00A24DEF">
      <w:pPr>
        <w:pStyle w:val="BodyText"/>
        <w:ind w:left="104" w:right="122"/>
      </w:pPr>
      <w:r>
        <w:t xml:space="preserve">Little, M. &amp; Dean, A. (2006). Links between service climate, employee commitment and employees' service quality capability. </w:t>
      </w:r>
      <w:r>
        <w:rPr>
          <w:i/>
        </w:rPr>
        <w:t>Managing Service Quality</w:t>
      </w:r>
      <w:r>
        <w:t>, 16(5), 460- 476.</w:t>
      </w:r>
    </w:p>
    <w:p w:rsidR="00BF4029" w:rsidRDefault="00BF4029">
      <w:pPr>
        <w:pStyle w:val="BodyText"/>
        <w:spacing w:before="1"/>
      </w:pPr>
    </w:p>
    <w:p w:rsidR="00BF4029" w:rsidRDefault="00A24DEF">
      <w:pPr>
        <w:ind w:left="104" w:right="170"/>
      </w:pPr>
      <w:r>
        <w:t>Lux, D., Jex, S, &amp; Hansen, C. (1996</w:t>
      </w:r>
      <w:r>
        <w:t xml:space="preserve">). Factors influencing employee perceptions of customer service climate. </w:t>
      </w:r>
      <w:r>
        <w:rPr>
          <w:i/>
        </w:rPr>
        <w:t>Journal of Market-Focused Management</w:t>
      </w:r>
      <w:r>
        <w:t>, 1(1), 65-86.</w:t>
      </w:r>
    </w:p>
    <w:p w:rsidR="00BF4029" w:rsidRDefault="00BF4029">
      <w:pPr>
        <w:pStyle w:val="BodyText"/>
      </w:pPr>
    </w:p>
    <w:p w:rsidR="00BF4029" w:rsidRDefault="00A24DEF">
      <w:pPr>
        <w:ind w:left="104" w:right="355"/>
      </w:pPr>
      <w:r>
        <w:t xml:space="preserve">Malhotra, N. K., Hall, J., Shaw, M. &amp; Oppenheim, P. (2002). </w:t>
      </w:r>
      <w:r>
        <w:rPr>
          <w:i/>
        </w:rPr>
        <w:t xml:space="preserve">Marketing research: an applied orientation </w:t>
      </w:r>
      <w:r>
        <w:t>(2nd ed.). NSW: Prentice Hal</w:t>
      </w:r>
      <w:r>
        <w:t>l.</w:t>
      </w:r>
    </w:p>
    <w:p w:rsidR="00BF4029" w:rsidRDefault="00BF4029">
      <w:pPr>
        <w:pStyle w:val="BodyText"/>
        <w:spacing w:before="2"/>
      </w:pPr>
    </w:p>
    <w:p w:rsidR="00BF4029" w:rsidRDefault="00A24DEF">
      <w:pPr>
        <w:pStyle w:val="BodyText"/>
        <w:ind w:left="104" w:right="782"/>
      </w:pPr>
      <w:r>
        <w:t xml:space="preserve">Mayer, D., Ehrhart, M. &amp; Schneider, B. (2009). Service attribute boundary conditions of the service climate-customer satisfaction link. </w:t>
      </w:r>
      <w:r>
        <w:rPr>
          <w:i/>
        </w:rPr>
        <w:t xml:space="preserve">The Academy of Management Journal, </w:t>
      </w:r>
      <w:r>
        <w:t>52(5), 1034-1050.</w:t>
      </w:r>
    </w:p>
    <w:p w:rsidR="00BF4029" w:rsidRDefault="00BF4029">
      <w:pPr>
        <w:pStyle w:val="BodyText"/>
        <w:spacing w:before="10"/>
        <w:rPr>
          <w:sz w:val="21"/>
        </w:rPr>
      </w:pPr>
    </w:p>
    <w:p w:rsidR="00BF4029" w:rsidRDefault="00A24DEF">
      <w:pPr>
        <w:pStyle w:val="BodyText"/>
        <w:ind w:left="104" w:right="733"/>
      </w:pPr>
      <w:r>
        <w:t>Melton, H. L. &amp;</w:t>
      </w:r>
      <w:r>
        <w:t xml:space="preserve"> Hartline, M. D. (2013). Employee Collaboration, Learning Orientation, and New Service Development Performance. </w:t>
      </w:r>
      <w:r>
        <w:rPr>
          <w:i/>
        </w:rPr>
        <w:t>Journal of Service Research</w:t>
      </w:r>
      <w:r>
        <w:t>, 16(1), 67-81.</w:t>
      </w:r>
    </w:p>
    <w:p w:rsidR="00BF4029" w:rsidRDefault="00BF4029">
      <w:pPr>
        <w:pStyle w:val="BodyText"/>
        <w:spacing w:before="1"/>
      </w:pPr>
    </w:p>
    <w:p w:rsidR="00BF4029" w:rsidRDefault="00A24DEF">
      <w:pPr>
        <w:spacing w:before="1"/>
        <w:ind w:left="104" w:right="134"/>
      </w:pPr>
      <w:r>
        <w:t xml:space="preserve">Mitchell, M. S., Cropanzano, R. S. &amp; Quisenberry, D. M. (2012). </w:t>
      </w:r>
      <w:r>
        <w:rPr>
          <w:i/>
        </w:rPr>
        <w:t>Social exchange theory, exchange res</w:t>
      </w:r>
      <w:r>
        <w:rPr>
          <w:i/>
        </w:rPr>
        <w:t xml:space="preserve">ources, and interpersonal relationships: A modest resolution of theoretical difficulties. In K. Törnblom and A. Kazemi </w:t>
      </w:r>
      <w:r>
        <w:t>(Eds.), Handbook of Social Resource Theory: Springer. New York, pp. 99-118</w:t>
      </w:r>
    </w:p>
    <w:p w:rsidR="00BF4029" w:rsidRDefault="00BF4029">
      <w:pPr>
        <w:pStyle w:val="BodyText"/>
        <w:spacing w:before="11"/>
        <w:rPr>
          <w:sz w:val="21"/>
        </w:rPr>
      </w:pPr>
    </w:p>
    <w:p w:rsidR="00BF4029" w:rsidRDefault="00A24DEF">
      <w:pPr>
        <w:pStyle w:val="BodyText"/>
        <w:ind w:left="104" w:right="513"/>
      </w:pPr>
      <w:r>
        <w:t>Nicolaides, A. (2008). Service Quality, Empowerment and Ethic</w:t>
      </w:r>
      <w:r>
        <w:t>s in The South African Hospitality and Tourism Industry and The Road Ahead Using ISO9000/1. Unpublished PhD theses, University of Zululand, KwaZulu-Natal.</w:t>
      </w:r>
    </w:p>
    <w:p w:rsidR="00BF4029" w:rsidRDefault="00BF4029">
      <w:pPr>
        <w:pStyle w:val="BodyText"/>
        <w:spacing w:before="10"/>
        <w:rPr>
          <w:sz w:val="21"/>
        </w:rPr>
      </w:pPr>
    </w:p>
    <w:p w:rsidR="00BF4029" w:rsidRDefault="00A24DEF">
      <w:pPr>
        <w:ind w:left="104" w:right="513"/>
      </w:pPr>
      <w:r>
        <w:t>Nicolaides, A. (2012). Service quality provision in upmarket restaurants: a survey of diners in thre</w:t>
      </w:r>
      <w:r>
        <w:t xml:space="preserve">e restaurants in a Gauteng casino complex, </w:t>
      </w:r>
      <w:r>
        <w:rPr>
          <w:i/>
        </w:rPr>
        <w:t>African Journal of Hospitality, Tourism and Leisure</w:t>
      </w:r>
      <w:r>
        <w:t>, 2(2).</w:t>
      </w:r>
    </w:p>
    <w:p w:rsidR="00BF4029" w:rsidRDefault="00BF4029">
      <w:pPr>
        <w:sectPr w:rsidR="00BF4029">
          <w:pgSz w:w="9980" w:h="14180"/>
          <w:pgMar w:top="1240" w:right="840" w:bottom="1100" w:left="860" w:header="625" w:footer="911" w:gutter="0"/>
          <w:cols w:space="720"/>
        </w:sectPr>
      </w:pPr>
    </w:p>
    <w:p w:rsidR="00BF4029" w:rsidRDefault="00BF4029">
      <w:pPr>
        <w:pStyle w:val="BodyText"/>
        <w:spacing w:before="4"/>
        <w:rPr>
          <w:sz w:val="21"/>
        </w:rPr>
      </w:pPr>
    </w:p>
    <w:p w:rsidR="00BF4029" w:rsidRDefault="00A24DEF">
      <w:pPr>
        <w:pStyle w:val="BodyText"/>
        <w:spacing w:before="94"/>
        <w:ind w:left="104" w:right="170"/>
      </w:pPr>
      <w:r>
        <w:t xml:space="preserve">Papasolomou, I. &amp; Vrontis, D. (2006). Building corporate branding through internal marketing: the case of the UK retail bank industry. </w:t>
      </w:r>
      <w:r>
        <w:rPr>
          <w:i/>
        </w:rPr>
        <w:t>Journal of Product &amp; Brand Management</w:t>
      </w:r>
      <w:r>
        <w:t>, 15(1), 37-47.</w:t>
      </w:r>
    </w:p>
    <w:p w:rsidR="00BF4029" w:rsidRDefault="00BF4029">
      <w:pPr>
        <w:pStyle w:val="BodyText"/>
      </w:pPr>
    </w:p>
    <w:p w:rsidR="00BF4029" w:rsidRDefault="00A24DEF">
      <w:pPr>
        <w:pStyle w:val="BodyText"/>
        <w:ind w:left="104" w:right="317"/>
      </w:pPr>
      <w:r>
        <w:t xml:space="preserve">Pimpakorn, N. &amp; Patterson, P. (2010). Customer-oriented behaviour of front-line service employees: The need to be both willing and able. </w:t>
      </w:r>
      <w:r>
        <w:rPr>
          <w:i/>
        </w:rPr>
        <w:t>Australasian Marketing Journal</w:t>
      </w:r>
      <w:r>
        <w:t>, 18(2), 57-65.</w:t>
      </w:r>
    </w:p>
    <w:p w:rsidR="00BF4029" w:rsidRDefault="00BF4029">
      <w:pPr>
        <w:pStyle w:val="BodyText"/>
        <w:spacing w:before="1"/>
      </w:pPr>
    </w:p>
    <w:p w:rsidR="00BF4029" w:rsidRDefault="00A24DEF">
      <w:pPr>
        <w:pStyle w:val="BodyText"/>
        <w:ind w:left="104" w:right="366"/>
      </w:pPr>
      <w:r>
        <w:t xml:space="preserve">Podsakoff, P. M., </w:t>
      </w:r>
      <w:r>
        <w:t xml:space="preserve">MacKenzie, S. B., Lee, J.-Y. &amp; Podsakoff, N. P. (2003). Common method biases in behavioral research: A critical review of the literature and recommended remedies. </w:t>
      </w:r>
      <w:r>
        <w:rPr>
          <w:i/>
        </w:rPr>
        <w:t>Journal of Applied Psychology</w:t>
      </w:r>
      <w:r>
        <w:t>, 88(5), 879-903.</w:t>
      </w:r>
    </w:p>
    <w:p w:rsidR="00BF4029" w:rsidRDefault="00BF4029">
      <w:pPr>
        <w:pStyle w:val="BodyText"/>
        <w:spacing w:before="11"/>
        <w:rPr>
          <w:sz w:val="21"/>
        </w:rPr>
      </w:pPr>
    </w:p>
    <w:p w:rsidR="00BF4029" w:rsidRDefault="00A24DEF">
      <w:pPr>
        <w:ind w:left="104" w:right="636"/>
      </w:pPr>
      <w:r>
        <w:t>Porricelli, M. S., Yurova, Y., Abratt, R. &amp; B</w:t>
      </w:r>
      <w:r>
        <w:t xml:space="preserve">endixen, M. (2014). Antecedents of brand citizenship behavior in retailing. </w:t>
      </w:r>
      <w:r>
        <w:rPr>
          <w:i/>
        </w:rPr>
        <w:t>Journal of Retailing and Consumer Services</w:t>
      </w:r>
      <w:r>
        <w:t>, 21(5), 745-752.</w:t>
      </w:r>
    </w:p>
    <w:p w:rsidR="00BF4029" w:rsidRDefault="00BF4029">
      <w:pPr>
        <w:pStyle w:val="BodyText"/>
        <w:spacing w:before="1"/>
      </w:pPr>
    </w:p>
    <w:p w:rsidR="00BF4029" w:rsidRDefault="00A24DEF">
      <w:pPr>
        <w:ind w:left="104" w:right="880"/>
      </w:pPr>
      <w:r>
        <w:t xml:space="preserve">Poujol, J. F. (2009). Management of sales advisers and service climate: an experiment. </w:t>
      </w:r>
      <w:r>
        <w:rPr>
          <w:i/>
        </w:rPr>
        <w:t>Journal of Service Management</w:t>
      </w:r>
      <w:r>
        <w:t>, 20(3-4), 274-289.</w:t>
      </w:r>
    </w:p>
    <w:p w:rsidR="00BF4029" w:rsidRDefault="00BF4029">
      <w:pPr>
        <w:pStyle w:val="BodyText"/>
        <w:spacing w:before="11"/>
        <w:rPr>
          <w:sz w:val="21"/>
        </w:rPr>
      </w:pPr>
    </w:p>
    <w:p w:rsidR="00BF4029" w:rsidRDefault="00A24DEF">
      <w:pPr>
        <w:pStyle w:val="BodyText"/>
        <w:ind w:left="104" w:right="134"/>
      </w:pPr>
      <w:r>
        <w:t xml:space="preserve">Pugh, S. D., Dietz, J., Wiley, J. W, &amp; Brooks, S. M. (2002). Driving service effectiveness through employee-customer linkages. </w:t>
      </w:r>
      <w:r>
        <w:rPr>
          <w:i/>
        </w:rPr>
        <w:t xml:space="preserve">The Academy of Management Executive </w:t>
      </w:r>
      <w:r>
        <w:t>(1993-2005), 16(4), 73-84.</w:t>
      </w:r>
    </w:p>
    <w:p w:rsidR="00BF4029" w:rsidRDefault="00BF4029">
      <w:pPr>
        <w:pStyle w:val="BodyText"/>
        <w:spacing w:before="1"/>
      </w:pPr>
    </w:p>
    <w:p w:rsidR="00BF4029" w:rsidRDefault="00A24DEF">
      <w:pPr>
        <w:pStyle w:val="BodyText"/>
        <w:ind w:left="104" w:right="174"/>
        <w:jc w:val="both"/>
      </w:pPr>
      <w:r>
        <w:t xml:space="preserve">Raub, S. &amp; Liao, H. (2012). Doing the right </w:t>
      </w:r>
      <w:r>
        <w:t xml:space="preserve">thing without being told: Joint effects of initiative climate and general self-efficacy on employee proactive customer service performance. </w:t>
      </w:r>
      <w:r>
        <w:rPr>
          <w:i/>
        </w:rPr>
        <w:t>Journal of Applied Psychology</w:t>
      </w:r>
      <w:r>
        <w:t>, 97(3), 651-667.</w:t>
      </w:r>
    </w:p>
    <w:p w:rsidR="00BF4029" w:rsidRDefault="00BF4029">
      <w:pPr>
        <w:pStyle w:val="BodyText"/>
        <w:spacing w:before="10"/>
        <w:rPr>
          <w:sz w:val="21"/>
        </w:rPr>
      </w:pPr>
    </w:p>
    <w:p w:rsidR="00BF4029" w:rsidRDefault="00A24DEF">
      <w:pPr>
        <w:pStyle w:val="BodyText"/>
        <w:ind w:left="104" w:right="182"/>
      </w:pPr>
      <w:r>
        <w:t>Salanova, M., Agut, S. &amp; Peiro, J. M. (2005). Linking organizational</w:t>
      </w:r>
      <w:r>
        <w:t xml:space="preserve"> resources and work engagement to employee performance and customer loyalty: The mediation of service climate. </w:t>
      </w:r>
      <w:r>
        <w:rPr>
          <w:i/>
        </w:rPr>
        <w:t>Journal of Applied Psychology</w:t>
      </w:r>
      <w:r>
        <w:t>, 90(6), 1217-1227.</w:t>
      </w:r>
    </w:p>
    <w:p w:rsidR="00BF4029" w:rsidRDefault="00BF4029">
      <w:pPr>
        <w:pStyle w:val="BodyText"/>
        <w:spacing w:before="1"/>
      </w:pPr>
    </w:p>
    <w:p w:rsidR="00BF4029" w:rsidRDefault="00A24DEF">
      <w:pPr>
        <w:pStyle w:val="BodyText"/>
        <w:spacing w:before="1" w:line="252" w:lineRule="exact"/>
        <w:ind w:left="104"/>
        <w:jc w:val="both"/>
      </w:pPr>
      <w:r>
        <w:t>Salvaggio, A. N., Schneider, B., Nishii, L. H., Mayer, D. M., Ramesh, A. &amp; Lyon,</w:t>
      </w:r>
    </w:p>
    <w:p w:rsidR="00BF4029" w:rsidRDefault="00A24DEF">
      <w:pPr>
        <w:pStyle w:val="BodyText"/>
        <w:ind w:left="104" w:right="183"/>
      </w:pPr>
      <w:r>
        <w:t>J.S. (2007). M</w:t>
      </w:r>
      <w:r>
        <w:t xml:space="preserve">anager personality, manager service quality orientation, and service climate: Test of a model. </w:t>
      </w:r>
      <w:r>
        <w:rPr>
          <w:i/>
        </w:rPr>
        <w:t>Journal of Applied Psychology</w:t>
      </w:r>
      <w:r>
        <w:t>, 92(6), 7141-7150.</w:t>
      </w:r>
    </w:p>
    <w:p w:rsidR="00BF4029" w:rsidRDefault="00BF4029">
      <w:pPr>
        <w:pStyle w:val="BodyText"/>
        <w:spacing w:before="1"/>
      </w:pPr>
    </w:p>
    <w:p w:rsidR="00BF4029" w:rsidRDefault="00A24DEF">
      <w:pPr>
        <w:pStyle w:val="BodyText"/>
        <w:ind w:left="104" w:right="184"/>
      </w:pPr>
      <w:r>
        <w:t>Schneider, B. &amp; Bowen, D. E. (1985). Employee and customer perceptions of service in banks: Replication and ext</w:t>
      </w:r>
      <w:r>
        <w:t xml:space="preserve">ension. </w:t>
      </w:r>
      <w:r>
        <w:rPr>
          <w:i/>
        </w:rPr>
        <w:t>Journal of Applied Psychology</w:t>
      </w:r>
      <w:r>
        <w:t>, 70(3), 423-433.</w:t>
      </w:r>
    </w:p>
    <w:p w:rsidR="00BF4029" w:rsidRDefault="00BF4029">
      <w:pPr>
        <w:pStyle w:val="BodyText"/>
        <w:spacing w:before="10"/>
        <w:rPr>
          <w:sz w:val="21"/>
        </w:rPr>
      </w:pPr>
    </w:p>
    <w:p w:rsidR="00BF4029" w:rsidRDefault="00A24DEF">
      <w:pPr>
        <w:pStyle w:val="BodyText"/>
        <w:ind w:left="104" w:right="223"/>
        <w:jc w:val="both"/>
      </w:pPr>
      <w:r>
        <w:t xml:space="preserve">Schneider, B. &amp; Bowen, D. E. (1993). The service organization: Human resources management is crucial. </w:t>
      </w:r>
      <w:r>
        <w:rPr>
          <w:i/>
        </w:rPr>
        <w:t>Organizational Dynamics</w:t>
      </w:r>
      <w:r>
        <w:t>, 21(4), 39-52.</w:t>
      </w:r>
    </w:p>
    <w:p w:rsidR="00BF4029" w:rsidRDefault="00BF4029">
      <w:pPr>
        <w:pStyle w:val="BodyText"/>
      </w:pPr>
    </w:p>
    <w:p w:rsidR="00BF4029" w:rsidRDefault="00A24DEF">
      <w:pPr>
        <w:pStyle w:val="BodyText"/>
        <w:ind w:left="104" w:right="208"/>
        <w:jc w:val="both"/>
      </w:pPr>
      <w:r>
        <w:t>Schneider, B., Parkington, J. J. &amp;</w:t>
      </w:r>
      <w:r>
        <w:t xml:space="preserve"> Buxton, V. M. (1980). Employee and customer perceptions of service in banks. </w:t>
      </w:r>
      <w:r>
        <w:rPr>
          <w:i/>
        </w:rPr>
        <w:t>Administrative Science Quarterly</w:t>
      </w:r>
      <w:r>
        <w:t>, 25(2), 252-267.</w:t>
      </w:r>
    </w:p>
    <w:p w:rsidR="00BF4029" w:rsidRDefault="00BF4029">
      <w:pPr>
        <w:jc w:val="both"/>
        <w:sectPr w:rsidR="00BF4029">
          <w:pgSz w:w="9980" w:h="14180"/>
          <w:pgMar w:top="1240" w:right="840" w:bottom="1100" w:left="860" w:header="625" w:footer="911" w:gutter="0"/>
          <w:cols w:space="720"/>
        </w:sectPr>
      </w:pPr>
    </w:p>
    <w:p w:rsidR="00BF4029" w:rsidRDefault="00A24DEF">
      <w:pPr>
        <w:spacing w:before="87"/>
        <w:ind w:left="104" w:right="122"/>
      </w:pPr>
      <w:r>
        <w:lastRenderedPageBreak/>
        <w:t xml:space="preserve">Schneider, B. &amp; White, S. (2004). </w:t>
      </w:r>
      <w:r>
        <w:rPr>
          <w:i/>
        </w:rPr>
        <w:t>Service quality: Research Perspectives</w:t>
      </w:r>
      <w:r>
        <w:t>. London: Sage Publications.</w:t>
      </w:r>
    </w:p>
    <w:p w:rsidR="00BF4029" w:rsidRDefault="00BF4029">
      <w:pPr>
        <w:pStyle w:val="BodyText"/>
        <w:spacing w:before="11"/>
        <w:rPr>
          <w:sz w:val="21"/>
        </w:rPr>
      </w:pPr>
    </w:p>
    <w:p w:rsidR="00BF4029" w:rsidRDefault="00A24DEF">
      <w:pPr>
        <w:pStyle w:val="BodyText"/>
        <w:ind w:left="104" w:right="733"/>
      </w:pPr>
      <w:r>
        <w:t xml:space="preserve">Schneider, B., White, S. S. &amp; Paul, M. C. (1998). Linking service climate and customer perceptions of service quality: Tests of a causal model. </w:t>
      </w:r>
      <w:r>
        <w:rPr>
          <w:i/>
        </w:rPr>
        <w:t>Journal of Applied Psychology</w:t>
      </w:r>
      <w:r>
        <w:t>, 83(2), 150-163.</w:t>
      </w:r>
    </w:p>
    <w:p w:rsidR="00BF4029" w:rsidRDefault="00BF4029">
      <w:pPr>
        <w:pStyle w:val="BodyText"/>
        <w:spacing w:before="1"/>
      </w:pPr>
    </w:p>
    <w:p w:rsidR="00BF4029" w:rsidRDefault="00A24DEF">
      <w:pPr>
        <w:pStyle w:val="BodyText"/>
        <w:ind w:left="104" w:right="599"/>
      </w:pPr>
      <w:r>
        <w:t>Scott, K. L., Restubog, S. L. D. &amp; Zagenczyk, T. J. (2013). A so</w:t>
      </w:r>
      <w:r>
        <w:t xml:space="preserve">cial exchange- based model of the antecedents of workplace exclusion. </w:t>
      </w:r>
      <w:r>
        <w:rPr>
          <w:i/>
        </w:rPr>
        <w:t>Journal of Applied Psychology</w:t>
      </w:r>
      <w:r>
        <w:t>, 98(1), 37.</w:t>
      </w:r>
    </w:p>
    <w:p w:rsidR="00BF4029" w:rsidRDefault="00BF4029">
      <w:pPr>
        <w:pStyle w:val="BodyText"/>
        <w:spacing w:before="10"/>
        <w:rPr>
          <w:sz w:val="21"/>
        </w:rPr>
      </w:pPr>
    </w:p>
    <w:p w:rsidR="00BF4029" w:rsidRDefault="00A24DEF">
      <w:pPr>
        <w:pStyle w:val="BodyText"/>
        <w:spacing w:before="1"/>
        <w:ind w:left="104" w:right="585"/>
      </w:pPr>
      <w:r>
        <w:t>Settoon, R., Bennett, N. &amp; Liden, R. (1996). Social exchange in organizations: Perceived organizational support, leader-member exchange, and em</w:t>
      </w:r>
      <w:r>
        <w:t xml:space="preserve">ployee reciprocity. </w:t>
      </w:r>
      <w:r>
        <w:rPr>
          <w:i/>
        </w:rPr>
        <w:t>Journal of Applied Psychology</w:t>
      </w:r>
      <w:r>
        <w:t>, 81(3), 219-227.</w:t>
      </w:r>
    </w:p>
    <w:p w:rsidR="00BF4029" w:rsidRDefault="00BF4029">
      <w:pPr>
        <w:pStyle w:val="BodyText"/>
      </w:pPr>
    </w:p>
    <w:p w:rsidR="00BF4029" w:rsidRDefault="00A24DEF">
      <w:pPr>
        <w:pStyle w:val="BodyText"/>
        <w:ind w:left="104" w:right="439"/>
      </w:pPr>
      <w:r>
        <w:t xml:space="preserve">Sierra, J. J. &amp; McQuitty, S. (2005). Service providers and customers: Social exchange theory and service loyalty. </w:t>
      </w:r>
      <w:r>
        <w:rPr>
          <w:i/>
        </w:rPr>
        <w:t>Journal of Services Marketing</w:t>
      </w:r>
      <w:r>
        <w:t>, 19(6), 392- 400.</w:t>
      </w:r>
    </w:p>
    <w:p w:rsidR="00BF4029" w:rsidRDefault="00BF4029">
      <w:pPr>
        <w:pStyle w:val="BodyText"/>
        <w:spacing w:before="1"/>
      </w:pPr>
    </w:p>
    <w:p w:rsidR="00BF4029" w:rsidRDefault="00A24DEF">
      <w:pPr>
        <w:pStyle w:val="BodyText"/>
        <w:ind w:left="104" w:right="794"/>
      </w:pPr>
      <w:r>
        <w:t>Snape, E. &amp; Redman, T. (2</w:t>
      </w:r>
      <w:r>
        <w:t xml:space="preserve">010). HRM practices, organizational citizenship behaviour, and performance: A multi-level analysis. </w:t>
      </w:r>
      <w:r>
        <w:rPr>
          <w:i/>
        </w:rPr>
        <w:t>Journal of Management Studies</w:t>
      </w:r>
      <w:r>
        <w:t>, 47(7), 1219-1247.</w:t>
      </w:r>
    </w:p>
    <w:p w:rsidR="00BF4029" w:rsidRDefault="00BF4029">
      <w:pPr>
        <w:pStyle w:val="BodyText"/>
        <w:spacing w:before="10"/>
        <w:rPr>
          <w:sz w:val="21"/>
        </w:rPr>
      </w:pPr>
    </w:p>
    <w:p w:rsidR="00BF4029" w:rsidRDefault="00A24DEF">
      <w:pPr>
        <w:spacing w:before="1"/>
        <w:ind w:left="104" w:right="183"/>
      </w:pPr>
      <w:r>
        <w:t xml:space="preserve">Solnet, D. &amp; Paulsen, N. (2006). Service climate, employee identification, and customer outcomes in hotel </w:t>
      </w:r>
      <w:r>
        <w:t xml:space="preserve">property rebrandings. </w:t>
      </w:r>
      <w:r>
        <w:rPr>
          <w:i/>
        </w:rPr>
        <w:t>Journal of Hospitality Marketing &amp; Management</w:t>
      </w:r>
      <w:r>
        <w:t>, 13(3), 3-27.</w:t>
      </w:r>
    </w:p>
    <w:p w:rsidR="00BF4029" w:rsidRDefault="00BF4029">
      <w:pPr>
        <w:pStyle w:val="BodyText"/>
      </w:pPr>
    </w:p>
    <w:p w:rsidR="00BF4029" w:rsidRDefault="00A24DEF">
      <w:pPr>
        <w:pStyle w:val="BodyText"/>
        <w:spacing w:before="1"/>
        <w:ind w:left="104" w:right="379"/>
      </w:pPr>
      <w:r>
        <w:t xml:space="preserve">Su, Y.-W. &amp; Lin, H.-L. (2014). Analysis of international tourist arrivals worldwide: The role of world heritage sites. </w:t>
      </w:r>
      <w:r>
        <w:rPr>
          <w:i/>
        </w:rPr>
        <w:t>Tourism Management</w:t>
      </w:r>
      <w:r>
        <w:t>, 40, 46-58.</w:t>
      </w:r>
    </w:p>
    <w:p w:rsidR="00BF4029" w:rsidRDefault="00BF4029">
      <w:pPr>
        <w:pStyle w:val="BodyText"/>
        <w:spacing w:before="10"/>
        <w:rPr>
          <w:sz w:val="21"/>
        </w:rPr>
      </w:pPr>
    </w:p>
    <w:p w:rsidR="00BF4029" w:rsidRDefault="00A24DEF">
      <w:pPr>
        <w:pStyle w:val="BodyText"/>
        <w:spacing w:before="1"/>
        <w:ind w:left="104" w:right="488"/>
      </w:pPr>
      <w:r>
        <w:t>Tang, T. W. &amp;</w:t>
      </w:r>
      <w:r>
        <w:t xml:space="preserve"> Tang, Y. Y. (2012). Promoting service-oriented organizational citizenship behaviors in hotels: The role of high-performance human resource practices and organizational social climates</w:t>
      </w:r>
      <w:r>
        <w:rPr>
          <w:i/>
        </w:rPr>
        <w:t>. International Journal of Hospitality Management</w:t>
      </w:r>
      <w:r>
        <w:t>, 31(3), 885-895.</w:t>
      </w:r>
    </w:p>
    <w:p w:rsidR="00BF4029" w:rsidRDefault="00BF4029">
      <w:pPr>
        <w:pStyle w:val="BodyText"/>
      </w:pPr>
    </w:p>
    <w:p w:rsidR="00BF4029" w:rsidRDefault="00A24DEF">
      <w:pPr>
        <w:pStyle w:val="BodyText"/>
        <w:ind w:left="104" w:right="563"/>
        <w:jc w:val="both"/>
      </w:pPr>
      <w:r>
        <w:t>Than</w:t>
      </w:r>
      <w:r>
        <w:t xml:space="preserve">g, L. C., Rowley, C., Quang, T. &amp; Warner, M. (2007). To what extent can management practices be transferred between countries? The case of human resource management in Vietnam. </w:t>
      </w:r>
      <w:r>
        <w:rPr>
          <w:i/>
        </w:rPr>
        <w:t>Journal of World Business</w:t>
      </w:r>
      <w:r>
        <w:t>, 42(1), 113-127.</w:t>
      </w:r>
    </w:p>
    <w:p w:rsidR="00BF4029" w:rsidRDefault="00BF4029">
      <w:pPr>
        <w:pStyle w:val="BodyText"/>
        <w:spacing w:before="1"/>
      </w:pPr>
    </w:p>
    <w:p w:rsidR="00BF4029" w:rsidRDefault="00A24DEF">
      <w:pPr>
        <w:pStyle w:val="BodyText"/>
        <w:spacing w:line="252" w:lineRule="exact"/>
        <w:ind w:left="104"/>
        <w:jc w:val="both"/>
      </w:pPr>
      <w:r>
        <w:t>Trinh, T. (2010). Understanding Vie</w:t>
      </w:r>
      <w:r>
        <w:t>tnam: A Look Beyond Facts and Figures.</w:t>
      </w:r>
    </w:p>
    <w:p w:rsidR="00BF4029" w:rsidRDefault="00A24DEF">
      <w:pPr>
        <w:spacing w:line="252" w:lineRule="exact"/>
        <w:ind w:left="104"/>
        <w:jc w:val="both"/>
      </w:pPr>
      <w:r>
        <w:rPr>
          <w:i/>
        </w:rPr>
        <w:t>Working Papers</w:t>
      </w:r>
      <w:r>
        <w:t>.</w:t>
      </w:r>
    </w:p>
    <w:p w:rsidR="00BF4029" w:rsidRDefault="00BF4029">
      <w:pPr>
        <w:pStyle w:val="BodyText"/>
        <w:spacing w:before="1"/>
      </w:pPr>
    </w:p>
    <w:p w:rsidR="00BF4029" w:rsidRDefault="00A24DEF">
      <w:pPr>
        <w:pStyle w:val="BodyText"/>
        <w:ind w:left="104" w:right="611"/>
      </w:pPr>
      <w:r>
        <w:t>Vietnamese General Statistics Office. (2013</w:t>
      </w:r>
      <w:r>
        <w:rPr>
          <w:i/>
        </w:rPr>
        <w:t xml:space="preserve">). Economic indicators of Vietnam </w:t>
      </w:r>
      <w:r>
        <w:t xml:space="preserve">Retrieved 22 January, 2013, from </w:t>
      </w:r>
      <w:hyperlink r:id="rId13">
        <w:r>
          <w:t>http:</w:t>
        </w:r>
        <w:r>
          <w:t>//www.gso.gov.vn/default.aspx?tabid=392&amp;idmid=3&amp;ItemID=13100</w:t>
        </w:r>
      </w:hyperlink>
    </w:p>
    <w:p w:rsidR="00BF4029" w:rsidRDefault="00BF4029">
      <w:pPr>
        <w:sectPr w:rsidR="00BF4029">
          <w:pgSz w:w="9980" w:h="14180"/>
          <w:pgMar w:top="1240" w:right="840" w:bottom="1100" w:left="860" w:header="625" w:footer="911" w:gutter="0"/>
          <w:cols w:space="720"/>
        </w:sectPr>
      </w:pPr>
    </w:p>
    <w:p w:rsidR="00BF4029" w:rsidRDefault="00A24DEF">
      <w:pPr>
        <w:pStyle w:val="BodyText"/>
        <w:spacing w:before="87"/>
        <w:ind w:left="104" w:right="219"/>
      </w:pPr>
      <w:r>
        <w:lastRenderedPageBreak/>
        <w:t>Walumbwa, F., Harnell, C. &amp; Oke, A. (2010). Servant leadership, procedural justice climate, service climate, employee attitudes, and organizational citizenship behavior: a cross</w:t>
      </w:r>
      <w:r>
        <w:t xml:space="preserve">-level investigation. </w:t>
      </w:r>
      <w:r>
        <w:rPr>
          <w:i/>
        </w:rPr>
        <w:t>Journal of Applied Psychology</w:t>
      </w:r>
      <w:r>
        <w:t>, 95(3), 517- 529.</w:t>
      </w:r>
    </w:p>
    <w:p w:rsidR="00BF4029" w:rsidRDefault="00BF4029">
      <w:pPr>
        <w:pStyle w:val="BodyText"/>
      </w:pPr>
    </w:p>
    <w:p w:rsidR="00BF4029" w:rsidRDefault="00A24DEF">
      <w:pPr>
        <w:ind w:left="104" w:right="759"/>
      </w:pPr>
      <w:r>
        <w:t xml:space="preserve">World Tourism Organization. (2014). </w:t>
      </w:r>
      <w:r>
        <w:rPr>
          <w:i/>
        </w:rPr>
        <w:t>UNWTO Annual report 2013</w:t>
      </w:r>
      <w:r>
        <w:t>: UNWTO. Madrid, Spain,</w:t>
      </w:r>
    </w:p>
    <w:p w:rsidR="00BF4029" w:rsidRDefault="00BF4029">
      <w:pPr>
        <w:pStyle w:val="BodyText"/>
        <w:spacing w:before="11"/>
        <w:rPr>
          <w:sz w:val="21"/>
        </w:rPr>
      </w:pPr>
    </w:p>
    <w:p w:rsidR="00BF4029" w:rsidRDefault="00A24DEF">
      <w:pPr>
        <w:pStyle w:val="BodyText"/>
        <w:ind w:left="104" w:right="171"/>
      </w:pPr>
      <w:r>
        <w:t>Xie, L.-S., Peng, J.-M. &amp; Huan, T.-C. (2014). Crafting and testing a central precept in service-domi</w:t>
      </w:r>
      <w:r>
        <w:t xml:space="preserve">nant logic: Hotel employees’ brand-citizenship behavior and customers’ brand trust. </w:t>
      </w:r>
      <w:r>
        <w:rPr>
          <w:i/>
        </w:rPr>
        <w:t>International Journal of Hospitality Management</w:t>
      </w:r>
      <w:r>
        <w:t>, 42, 1-8.</w:t>
      </w:r>
    </w:p>
    <w:p w:rsidR="00BF4029" w:rsidRDefault="00BF4029">
      <w:pPr>
        <w:pStyle w:val="BodyText"/>
        <w:spacing w:before="1"/>
      </w:pPr>
    </w:p>
    <w:p w:rsidR="00BF4029" w:rsidRDefault="00A24DEF">
      <w:pPr>
        <w:pStyle w:val="BodyText"/>
        <w:ind w:left="104" w:right="110"/>
      </w:pPr>
      <w:r>
        <w:t xml:space="preserve">Yavas, U., Babakus, E. &amp; Ashill, N. (2010). Testing a branch performance model in a New Zealand bank. </w:t>
      </w:r>
      <w:r>
        <w:rPr>
          <w:i/>
        </w:rPr>
        <w:t xml:space="preserve">Journal of </w:t>
      </w:r>
      <w:r>
        <w:rPr>
          <w:i/>
        </w:rPr>
        <w:t>Services Marketing</w:t>
      </w:r>
      <w:r>
        <w:t>, 24(5), 369-377.</w:t>
      </w:r>
    </w:p>
    <w:p w:rsidR="00BF4029" w:rsidRDefault="00BF4029">
      <w:pPr>
        <w:pStyle w:val="BodyText"/>
      </w:pPr>
    </w:p>
    <w:p w:rsidR="00BF4029" w:rsidRDefault="00A24DEF">
      <w:pPr>
        <w:pStyle w:val="BodyText"/>
        <w:ind w:left="104" w:right="575"/>
      </w:pPr>
      <w:r>
        <w:t xml:space="preserve">Zikmund, W. G., Ward, S., Lowe, B., Winzar, H. &amp; Babin, B. (2011). </w:t>
      </w:r>
      <w:r>
        <w:rPr>
          <w:i/>
        </w:rPr>
        <w:t xml:space="preserve">Marketing Research </w:t>
      </w:r>
      <w:r>
        <w:t>(2nd Asia-Pacific ed.). Australia: Cengage Learning.</w:t>
      </w:r>
    </w:p>
    <w:sectPr w:rsidR="00BF4029">
      <w:pgSz w:w="9980" w:h="14180"/>
      <w:pgMar w:top="1240" w:right="840" w:bottom="1100" w:left="860" w:header="625" w:footer="91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4DEF" w:rsidRDefault="00A24DEF">
      <w:r>
        <w:separator/>
      </w:r>
    </w:p>
  </w:endnote>
  <w:endnote w:type="continuationSeparator" w:id="0">
    <w:p w:rsidR="00A24DEF" w:rsidRDefault="00A24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RW Gothic">
    <w:altName w:val="Times New Roman"/>
    <w:charset w:val="00"/>
    <w:family w:val="auto"/>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029" w:rsidRDefault="00D7301A">
    <w:pPr>
      <w:pStyle w:val="BodyText"/>
      <w:spacing w:line="14" w:lineRule="auto"/>
      <w:rPr>
        <w:sz w:val="20"/>
      </w:rPr>
    </w:pPr>
    <w:r>
      <w:rPr>
        <w:noProof/>
      </w:rPr>
      <mc:AlternateContent>
        <mc:Choice Requires="wps">
          <w:drawing>
            <wp:anchor distT="0" distB="0" distL="114300" distR="114300" simplePos="0" relativeHeight="487000576" behindDoc="1" locked="0" layoutInCell="1" allowOverlap="1">
              <wp:simplePos x="0" y="0"/>
              <wp:positionH relativeFrom="page">
                <wp:posOffset>5536565</wp:posOffset>
              </wp:positionH>
              <wp:positionV relativeFrom="page">
                <wp:posOffset>8282305</wp:posOffset>
              </wp:positionV>
              <wp:extent cx="2286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4029" w:rsidRDefault="00A24DEF">
                          <w:pPr>
                            <w:spacing w:before="10"/>
                            <w:ind w:left="60"/>
                            <w:rPr>
                              <w:rFonts w:ascii="Times New Roman"/>
                              <w:sz w:val="24"/>
                            </w:rPr>
                          </w:pPr>
                          <w:r>
                            <w:fldChar w:fldCharType="begin"/>
                          </w:r>
                          <w:r>
                            <w:rPr>
                              <w:rFonts w:ascii="Times New Roman"/>
                              <w:sz w:val="24"/>
                            </w:rPr>
                            <w:instrText xml:space="preserve"> PAGE </w:instrText>
                          </w:r>
                          <w:r>
                            <w:fldChar w:fldCharType="separate"/>
                          </w:r>
                          <w:r w:rsidR="00D7301A">
                            <w:rPr>
                              <w:rFonts w:ascii="Times New Roman"/>
                              <w:noProof/>
                              <w:sz w:val="24"/>
                            </w:rPr>
                            <w:t>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435.95pt;margin-top:652.15pt;width:18pt;height:15.3pt;z-index:-16315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" filled="f" stroked="f">
              <v:textbox inset="0,0,0,0">
                <w:txbxContent>
                  <w:p w:rsidR="00BF4029" w:rsidRDefault="00A24DEF">
                    <w:pPr>
                      <w:spacing w:before="10"/>
                      <w:ind w:left="60"/>
                      <w:rPr>
                        <w:rFonts w:ascii="Times New Roman"/>
                        <w:sz w:val="24"/>
                      </w:rPr>
                    </w:pPr>
                    <w:r>
                      <w:fldChar w:fldCharType="begin"/>
                    </w:r>
                    <w:r>
                      <w:rPr>
                        <w:rFonts w:ascii="Times New Roman"/>
                        <w:sz w:val="24"/>
                      </w:rPr>
                      <w:instrText xml:space="preserve"> PAGE </w:instrText>
                    </w:r>
                    <w:r>
                      <w:fldChar w:fldCharType="separate"/>
                    </w:r>
                    <w:r w:rsidR="00D7301A">
                      <w:rPr>
                        <w:rFonts w:ascii="Times New Roman"/>
                        <w:noProof/>
                        <w:sz w:val="24"/>
                      </w:rPr>
                      <w:t>23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4DEF" w:rsidRDefault="00A24DEF">
      <w:r>
        <w:separator/>
      </w:r>
    </w:p>
  </w:footnote>
  <w:footnote w:type="continuationSeparator" w:id="0">
    <w:p w:rsidR="00A24DEF" w:rsidRDefault="00A24D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029" w:rsidRDefault="00A24DEF">
    <w:pPr>
      <w:pStyle w:val="BodyText"/>
      <w:spacing w:line="14" w:lineRule="auto"/>
      <w:rPr>
        <w:sz w:val="20"/>
      </w:rPr>
    </w:pPr>
    <w:r>
      <w:rPr>
        <w:noProof/>
      </w:rPr>
      <w:drawing>
        <wp:anchor distT="0" distB="0" distL="0" distR="0" simplePos="0" relativeHeight="486999552" behindDoc="1" locked="0" layoutInCell="1" allowOverlap="1">
          <wp:simplePos x="0" y="0"/>
          <wp:positionH relativeFrom="page">
            <wp:posOffset>200025</wp:posOffset>
          </wp:positionH>
          <wp:positionV relativeFrom="page">
            <wp:posOffset>405764</wp:posOffset>
          </wp:positionV>
          <wp:extent cx="723900" cy="28575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723900" cy="285750"/>
                  </a:xfrm>
                  <a:prstGeom prst="rect">
                    <a:avLst/>
                  </a:prstGeom>
                </pic:spPr>
              </pic:pic>
            </a:graphicData>
          </a:graphic>
        </wp:anchor>
      </w:drawing>
    </w:r>
    <w:r w:rsidR="00D7301A">
      <w:rPr>
        <w:noProof/>
      </w:rPr>
      <mc:AlternateContent>
        <mc:Choice Requires="wps">
          <w:drawing>
            <wp:anchor distT="0" distB="0" distL="114300" distR="114300" simplePos="0" relativeHeight="487000064" behindDoc="1" locked="0" layoutInCell="1" allowOverlap="1">
              <wp:simplePos x="0" y="0"/>
              <wp:positionH relativeFrom="page">
                <wp:posOffset>1025525</wp:posOffset>
              </wp:positionH>
              <wp:positionV relativeFrom="page">
                <wp:posOffset>384175</wp:posOffset>
              </wp:positionV>
              <wp:extent cx="4747260" cy="30607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726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4029" w:rsidRDefault="00A24DEF">
                          <w:pPr>
                            <w:spacing w:before="25" w:line="230" w:lineRule="auto"/>
                            <w:ind w:left="20"/>
                            <w:rPr>
                              <w:rFonts w:ascii="URW Gothic" w:hAnsi="URW Gothic"/>
                              <w:sz w:val="18"/>
                            </w:rPr>
                          </w:pPr>
                          <w:r>
                            <w:rPr>
                              <w:rFonts w:ascii="URW Gothic" w:hAnsi="URW Gothic"/>
                              <w:sz w:val="18"/>
                            </w:rPr>
                            <w:t>African</w:t>
                          </w:r>
                          <w:r>
                            <w:rPr>
                              <w:rFonts w:ascii="URW Gothic" w:hAnsi="URW Gothic"/>
                              <w:spacing w:val="-7"/>
                              <w:sz w:val="18"/>
                            </w:rPr>
                            <w:t xml:space="preserve"> </w:t>
                          </w:r>
                          <w:r>
                            <w:rPr>
                              <w:rFonts w:ascii="URW Gothic" w:hAnsi="URW Gothic"/>
                              <w:sz w:val="18"/>
                            </w:rPr>
                            <w:t>Journal</w:t>
                          </w:r>
                          <w:r>
                            <w:rPr>
                              <w:rFonts w:ascii="URW Gothic" w:hAnsi="URW Gothic"/>
                              <w:spacing w:val="-5"/>
                              <w:sz w:val="18"/>
                            </w:rPr>
                            <w:t xml:space="preserve"> </w:t>
                          </w:r>
                          <w:r>
                            <w:rPr>
                              <w:rFonts w:ascii="URW Gothic" w:hAnsi="URW Gothic"/>
                              <w:sz w:val="18"/>
                            </w:rPr>
                            <w:t>of</w:t>
                          </w:r>
                          <w:r>
                            <w:rPr>
                              <w:rFonts w:ascii="URW Gothic" w:hAnsi="URW Gothic"/>
                              <w:spacing w:val="-4"/>
                              <w:sz w:val="18"/>
                            </w:rPr>
                            <w:t xml:space="preserve"> </w:t>
                          </w:r>
                          <w:r>
                            <w:rPr>
                              <w:rFonts w:ascii="URW Gothic" w:hAnsi="URW Gothic"/>
                              <w:sz w:val="18"/>
                            </w:rPr>
                            <w:t>Hospitality,</w:t>
                          </w:r>
                          <w:r>
                            <w:rPr>
                              <w:rFonts w:ascii="URW Gothic" w:hAnsi="URW Gothic"/>
                              <w:spacing w:val="-12"/>
                              <w:sz w:val="18"/>
                            </w:rPr>
                            <w:t xml:space="preserve"> </w:t>
                          </w:r>
                          <w:r>
                            <w:rPr>
                              <w:rFonts w:ascii="URW Gothic" w:hAnsi="URW Gothic"/>
                              <w:sz w:val="18"/>
                            </w:rPr>
                            <w:t>Tourism</w:t>
                          </w:r>
                          <w:r>
                            <w:rPr>
                              <w:rFonts w:ascii="URW Gothic" w:hAnsi="URW Gothic"/>
                              <w:spacing w:val="-10"/>
                              <w:sz w:val="18"/>
                            </w:rPr>
                            <w:t xml:space="preserve"> </w:t>
                          </w:r>
                          <w:r>
                            <w:rPr>
                              <w:rFonts w:ascii="URW Gothic" w:hAnsi="URW Gothic"/>
                              <w:sz w:val="18"/>
                            </w:rPr>
                            <w:t>and</w:t>
                          </w:r>
                          <w:r>
                            <w:rPr>
                              <w:rFonts w:ascii="URW Gothic" w:hAnsi="URW Gothic"/>
                              <w:spacing w:val="-1"/>
                              <w:sz w:val="18"/>
                            </w:rPr>
                            <w:t xml:space="preserve"> </w:t>
                          </w:r>
                          <w:r>
                            <w:rPr>
                              <w:rFonts w:ascii="URW Gothic" w:hAnsi="URW Gothic"/>
                              <w:sz w:val="18"/>
                            </w:rPr>
                            <w:t>Leisure,</w:t>
                          </w:r>
                          <w:r>
                            <w:rPr>
                              <w:rFonts w:ascii="URW Gothic" w:hAnsi="URW Gothic"/>
                              <w:spacing w:val="-9"/>
                              <w:sz w:val="18"/>
                            </w:rPr>
                            <w:t xml:space="preserve"> </w:t>
                          </w:r>
                          <w:r>
                            <w:rPr>
                              <w:rFonts w:ascii="URW Gothic" w:hAnsi="URW Gothic"/>
                              <w:sz w:val="18"/>
                            </w:rPr>
                            <w:t>Volume</w:t>
                          </w:r>
                          <w:r>
                            <w:rPr>
                              <w:rFonts w:ascii="URW Gothic" w:hAnsi="URW Gothic"/>
                              <w:spacing w:val="-7"/>
                              <w:sz w:val="18"/>
                            </w:rPr>
                            <w:t xml:space="preserve"> </w:t>
                          </w:r>
                          <w:r>
                            <w:rPr>
                              <w:rFonts w:ascii="URW Gothic" w:hAnsi="URW Gothic"/>
                              <w:sz w:val="18"/>
                            </w:rPr>
                            <w:t>9(1)</w:t>
                          </w:r>
                          <w:r>
                            <w:rPr>
                              <w:rFonts w:ascii="URW Gothic" w:hAnsi="URW Gothic"/>
                              <w:spacing w:val="3"/>
                              <w:sz w:val="18"/>
                            </w:rPr>
                            <w:t xml:space="preserve"> </w:t>
                          </w:r>
                          <w:r>
                            <w:rPr>
                              <w:rFonts w:ascii="URW Gothic" w:hAnsi="URW Gothic"/>
                              <w:sz w:val="18"/>
                            </w:rPr>
                            <w:t>-</w:t>
                          </w:r>
                          <w:r>
                            <w:rPr>
                              <w:rFonts w:ascii="URW Gothic" w:hAnsi="URW Gothic"/>
                              <w:spacing w:val="3"/>
                              <w:sz w:val="18"/>
                            </w:rPr>
                            <w:t xml:space="preserve"> </w:t>
                          </w:r>
                          <w:r>
                            <w:rPr>
                              <w:rFonts w:ascii="URW Gothic" w:hAnsi="URW Gothic"/>
                              <w:sz w:val="18"/>
                            </w:rPr>
                            <w:t>(2020)</w:t>
                          </w:r>
                          <w:r>
                            <w:rPr>
                              <w:rFonts w:ascii="URW Gothic" w:hAnsi="URW Gothic"/>
                              <w:spacing w:val="-7"/>
                              <w:sz w:val="18"/>
                            </w:rPr>
                            <w:t xml:space="preserve"> </w:t>
                          </w:r>
                          <w:r>
                            <w:rPr>
                              <w:rFonts w:ascii="URW Gothic" w:hAnsi="URW Gothic"/>
                              <w:sz w:val="18"/>
                            </w:rPr>
                            <w:t>ISSN:</w:t>
                          </w:r>
                          <w:r>
                            <w:rPr>
                              <w:rFonts w:ascii="URW Gothic" w:hAnsi="URW Gothic"/>
                              <w:spacing w:val="-7"/>
                              <w:sz w:val="18"/>
                            </w:rPr>
                            <w:t xml:space="preserve"> </w:t>
                          </w:r>
                          <w:r>
                            <w:rPr>
                              <w:rFonts w:ascii="URW Gothic" w:hAnsi="URW Gothic"/>
                              <w:sz w:val="18"/>
                            </w:rPr>
                            <w:t>2223-814X Copyright:</w:t>
                          </w:r>
                          <w:r>
                            <w:rPr>
                              <w:rFonts w:ascii="URW Gothic" w:hAnsi="URW Gothic"/>
                              <w:spacing w:val="-10"/>
                              <w:sz w:val="18"/>
                            </w:rPr>
                            <w:t xml:space="preserve"> </w:t>
                          </w:r>
                          <w:r>
                            <w:rPr>
                              <w:rFonts w:ascii="URW Gothic" w:hAnsi="URW Gothic"/>
                              <w:sz w:val="18"/>
                            </w:rPr>
                            <w:t>©</w:t>
                          </w:r>
                          <w:r>
                            <w:rPr>
                              <w:rFonts w:ascii="URW Gothic" w:hAnsi="URW Gothic"/>
                              <w:spacing w:val="-2"/>
                              <w:sz w:val="18"/>
                            </w:rPr>
                            <w:t xml:space="preserve"> </w:t>
                          </w:r>
                          <w:r>
                            <w:rPr>
                              <w:rFonts w:ascii="URW Gothic" w:hAnsi="URW Gothic"/>
                              <w:sz w:val="18"/>
                            </w:rPr>
                            <w:t>2020</w:t>
                          </w:r>
                          <w:r>
                            <w:rPr>
                              <w:rFonts w:ascii="URW Gothic" w:hAnsi="URW Gothic"/>
                              <w:spacing w:val="-2"/>
                              <w:sz w:val="18"/>
                            </w:rPr>
                            <w:t xml:space="preserve"> </w:t>
                          </w:r>
                          <w:r>
                            <w:rPr>
                              <w:rFonts w:ascii="URW Gothic" w:hAnsi="URW Gothic"/>
                              <w:sz w:val="18"/>
                            </w:rPr>
                            <w:t>AJHTL</w:t>
                          </w:r>
                          <w:r>
                            <w:rPr>
                              <w:rFonts w:ascii="URW Gothic" w:hAnsi="URW Gothic"/>
                              <w:spacing w:val="-4"/>
                              <w:sz w:val="18"/>
                            </w:rPr>
                            <w:t xml:space="preserve"> /Author/s-</w:t>
                          </w:r>
                          <w:r>
                            <w:rPr>
                              <w:rFonts w:ascii="URW Gothic" w:hAnsi="URW Gothic"/>
                              <w:sz w:val="18"/>
                            </w:rPr>
                            <w:t xml:space="preserve"> Open Access-</w:t>
                          </w:r>
                          <w:r>
                            <w:rPr>
                              <w:rFonts w:ascii="URW Gothic" w:hAnsi="URW Gothic"/>
                              <w:spacing w:val="-7"/>
                              <w:sz w:val="18"/>
                            </w:rPr>
                            <w:t xml:space="preserve"> </w:t>
                          </w:r>
                          <w:r>
                            <w:rPr>
                              <w:rFonts w:ascii="URW Gothic" w:hAnsi="URW Gothic"/>
                              <w:sz w:val="18"/>
                            </w:rPr>
                            <w:t>Online</w:t>
                          </w:r>
                          <w:r>
                            <w:rPr>
                              <w:rFonts w:ascii="URW Gothic" w:hAnsi="URW Gothic"/>
                              <w:spacing w:val="-10"/>
                              <w:sz w:val="18"/>
                            </w:rPr>
                            <w:t xml:space="preserve"> </w:t>
                          </w:r>
                          <w:r>
                            <w:rPr>
                              <w:rFonts w:ascii="URW Gothic" w:hAnsi="URW Gothic"/>
                              <w:sz w:val="18"/>
                            </w:rPr>
                            <w:t>@ http//:</w:t>
                          </w:r>
                          <w:r>
                            <w:rPr>
                              <w:rFonts w:ascii="URW Gothic" w:hAnsi="URW Gothic"/>
                              <w:spacing w:val="-9"/>
                              <w:sz w:val="18"/>
                            </w:rPr>
                            <w:t xml:space="preserve"> </w:t>
                          </w:r>
                          <w:hyperlink r:id="rId2">
                            <w:r>
                              <w:rPr>
                                <w:rFonts w:ascii="URW Gothic" w:hAnsi="URW Gothic"/>
                                <w:sz w:val="18"/>
                              </w:rPr>
                              <w:t>www.ajhtl.com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0.75pt;margin-top:30.25pt;width:373.8pt;height:24.1pt;z-index:-16316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" filled="f" stroked="f">
              <v:textbox inset="0,0,0,0">
                <w:txbxContent>
                  <w:p w:rsidR="00BF4029" w:rsidRDefault="00A24DEF">
                    <w:pPr>
                      <w:spacing w:before="25" w:line="230" w:lineRule="auto"/>
                      <w:ind w:left="20"/>
                      <w:rPr>
                        <w:rFonts w:ascii="URW Gothic" w:hAnsi="URW Gothic"/>
                        <w:sz w:val="18"/>
                      </w:rPr>
                    </w:pPr>
                    <w:r>
                      <w:rPr>
                        <w:rFonts w:ascii="URW Gothic" w:hAnsi="URW Gothic"/>
                        <w:sz w:val="18"/>
                      </w:rPr>
                      <w:t>African</w:t>
                    </w:r>
                    <w:r>
                      <w:rPr>
                        <w:rFonts w:ascii="URW Gothic" w:hAnsi="URW Gothic"/>
                        <w:spacing w:val="-7"/>
                        <w:sz w:val="18"/>
                      </w:rPr>
                      <w:t xml:space="preserve"> </w:t>
                    </w:r>
                    <w:r>
                      <w:rPr>
                        <w:rFonts w:ascii="URW Gothic" w:hAnsi="URW Gothic"/>
                        <w:sz w:val="18"/>
                      </w:rPr>
                      <w:t>Journal</w:t>
                    </w:r>
                    <w:r>
                      <w:rPr>
                        <w:rFonts w:ascii="URW Gothic" w:hAnsi="URW Gothic"/>
                        <w:spacing w:val="-5"/>
                        <w:sz w:val="18"/>
                      </w:rPr>
                      <w:t xml:space="preserve"> </w:t>
                    </w:r>
                    <w:r>
                      <w:rPr>
                        <w:rFonts w:ascii="URW Gothic" w:hAnsi="URW Gothic"/>
                        <w:sz w:val="18"/>
                      </w:rPr>
                      <w:t>of</w:t>
                    </w:r>
                    <w:r>
                      <w:rPr>
                        <w:rFonts w:ascii="URW Gothic" w:hAnsi="URW Gothic"/>
                        <w:spacing w:val="-4"/>
                        <w:sz w:val="18"/>
                      </w:rPr>
                      <w:t xml:space="preserve"> </w:t>
                    </w:r>
                    <w:r>
                      <w:rPr>
                        <w:rFonts w:ascii="URW Gothic" w:hAnsi="URW Gothic"/>
                        <w:sz w:val="18"/>
                      </w:rPr>
                      <w:t>Hospitality,</w:t>
                    </w:r>
                    <w:r>
                      <w:rPr>
                        <w:rFonts w:ascii="URW Gothic" w:hAnsi="URW Gothic"/>
                        <w:spacing w:val="-12"/>
                        <w:sz w:val="18"/>
                      </w:rPr>
                      <w:t xml:space="preserve"> </w:t>
                    </w:r>
                    <w:r>
                      <w:rPr>
                        <w:rFonts w:ascii="URW Gothic" w:hAnsi="URW Gothic"/>
                        <w:sz w:val="18"/>
                      </w:rPr>
                      <w:t>Tourism</w:t>
                    </w:r>
                    <w:r>
                      <w:rPr>
                        <w:rFonts w:ascii="URW Gothic" w:hAnsi="URW Gothic"/>
                        <w:spacing w:val="-10"/>
                        <w:sz w:val="18"/>
                      </w:rPr>
                      <w:t xml:space="preserve"> </w:t>
                    </w:r>
                    <w:r>
                      <w:rPr>
                        <w:rFonts w:ascii="URW Gothic" w:hAnsi="URW Gothic"/>
                        <w:sz w:val="18"/>
                      </w:rPr>
                      <w:t>and</w:t>
                    </w:r>
                    <w:r>
                      <w:rPr>
                        <w:rFonts w:ascii="URW Gothic" w:hAnsi="URW Gothic"/>
                        <w:spacing w:val="-1"/>
                        <w:sz w:val="18"/>
                      </w:rPr>
                      <w:t xml:space="preserve"> </w:t>
                    </w:r>
                    <w:r>
                      <w:rPr>
                        <w:rFonts w:ascii="URW Gothic" w:hAnsi="URW Gothic"/>
                        <w:sz w:val="18"/>
                      </w:rPr>
                      <w:t>Leisure,</w:t>
                    </w:r>
                    <w:r>
                      <w:rPr>
                        <w:rFonts w:ascii="URW Gothic" w:hAnsi="URW Gothic"/>
                        <w:spacing w:val="-9"/>
                        <w:sz w:val="18"/>
                      </w:rPr>
                      <w:t xml:space="preserve"> </w:t>
                    </w:r>
                    <w:r>
                      <w:rPr>
                        <w:rFonts w:ascii="URW Gothic" w:hAnsi="URW Gothic"/>
                        <w:sz w:val="18"/>
                      </w:rPr>
                      <w:t>Volume</w:t>
                    </w:r>
                    <w:r>
                      <w:rPr>
                        <w:rFonts w:ascii="URW Gothic" w:hAnsi="URW Gothic"/>
                        <w:spacing w:val="-7"/>
                        <w:sz w:val="18"/>
                      </w:rPr>
                      <w:t xml:space="preserve"> </w:t>
                    </w:r>
                    <w:r>
                      <w:rPr>
                        <w:rFonts w:ascii="URW Gothic" w:hAnsi="URW Gothic"/>
                        <w:sz w:val="18"/>
                      </w:rPr>
                      <w:t>9(1)</w:t>
                    </w:r>
                    <w:r>
                      <w:rPr>
                        <w:rFonts w:ascii="URW Gothic" w:hAnsi="URW Gothic"/>
                        <w:spacing w:val="3"/>
                        <w:sz w:val="18"/>
                      </w:rPr>
                      <w:t xml:space="preserve"> </w:t>
                    </w:r>
                    <w:r>
                      <w:rPr>
                        <w:rFonts w:ascii="URW Gothic" w:hAnsi="URW Gothic"/>
                        <w:sz w:val="18"/>
                      </w:rPr>
                      <w:t>-</w:t>
                    </w:r>
                    <w:r>
                      <w:rPr>
                        <w:rFonts w:ascii="URW Gothic" w:hAnsi="URW Gothic"/>
                        <w:spacing w:val="3"/>
                        <w:sz w:val="18"/>
                      </w:rPr>
                      <w:t xml:space="preserve"> </w:t>
                    </w:r>
                    <w:r>
                      <w:rPr>
                        <w:rFonts w:ascii="URW Gothic" w:hAnsi="URW Gothic"/>
                        <w:sz w:val="18"/>
                      </w:rPr>
                      <w:t>(2020)</w:t>
                    </w:r>
                    <w:r>
                      <w:rPr>
                        <w:rFonts w:ascii="URW Gothic" w:hAnsi="URW Gothic"/>
                        <w:spacing w:val="-7"/>
                        <w:sz w:val="18"/>
                      </w:rPr>
                      <w:t xml:space="preserve"> </w:t>
                    </w:r>
                    <w:r>
                      <w:rPr>
                        <w:rFonts w:ascii="URW Gothic" w:hAnsi="URW Gothic"/>
                        <w:sz w:val="18"/>
                      </w:rPr>
                      <w:t>ISSN:</w:t>
                    </w:r>
                    <w:r>
                      <w:rPr>
                        <w:rFonts w:ascii="URW Gothic" w:hAnsi="URW Gothic"/>
                        <w:spacing w:val="-7"/>
                        <w:sz w:val="18"/>
                      </w:rPr>
                      <w:t xml:space="preserve"> </w:t>
                    </w:r>
                    <w:r>
                      <w:rPr>
                        <w:rFonts w:ascii="URW Gothic" w:hAnsi="URW Gothic"/>
                        <w:sz w:val="18"/>
                      </w:rPr>
                      <w:t>2223-814X Copyright:</w:t>
                    </w:r>
                    <w:r>
                      <w:rPr>
                        <w:rFonts w:ascii="URW Gothic" w:hAnsi="URW Gothic"/>
                        <w:spacing w:val="-10"/>
                        <w:sz w:val="18"/>
                      </w:rPr>
                      <w:t xml:space="preserve"> </w:t>
                    </w:r>
                    <w:r>
                      <w:rPr>
                        <w:rFonts w:ascii="URW Gothic" w:hAnsi="URW Gothic"/>
                        <w:sz w:val="18"/>
                      </w:rPr>
                      <w:t>©</w:t>
                    </w:r>
                    <w:r>
                      <w:rPr>
                        <w:rFonts w:ascii="URW Gothic" w:hAnsi="URW Gothic"/>
                        <w:spacing w:val="-2"/>
                        <w:sz w:val="18"/>
                      </w:rPr>
                      <w:t xml:space="preserve"> </w:t>
                    </w:r>
                    <w:r>
                      <w:rPr>
                        <w:rFonts w:ascii="URW Gothic" w:hAnsi="URW Gothic"/>
                        <w:sz w:val="18"/>
                      </w:rPr>
                      <w:t>2020</w:t>
                    </w:r>
                    <w:r>
                      <w:rPr>
                        <w:rFonts w:ascii="URW Gothic" w:hAnsi="URW Gothic"/>
                        <w:spacing w:val="-2"/>
                        <w:sz w:val="18"/>
                      </w:rPr>
                      <w:t xml:space="preserve"> </w:t>
                    </w:r>
                    <w:r>
                      <w:rPr>
                        <w:rFonts w:ascii="URW Gothic" w:hAnsi="URW Gothic"/>
                        <w:sz w:val="18"/>
                      </w:rPr>
                      <w:t>AJHTL</w:t>
                    </w:r>
                    <w:r>
                      <w:rPr>
                        <w:rFonts w:ascii="URW Gothic" w:hAnsi="URW Gothic"/>
                        <w:spacing w:val="-4"/>
                        <w:sz w:val="18"/>
                      </w:rPr>
                      <w:t xml:space="preserve"> /Author/s-</w:t>
                    </w:r>
                    <w:r>
                      <w:rPr>
                        <w:rFonts w:ascii="URW Gothic" w:hAnsi="URW Gothic"/>
                        <w:sz w:val="18"/>
                      </w:rPr>
                      <w:t xml:space="preserve"> Open Access-</w:t>
                    </w:r>
                    <w:r>
                      <w:rPr>
                        <w:rFonts w:ascii="URW Gothic" w:hAnsi="URW Gothic"/>
                        <w:spacing w:val="-7"/>
                        <w:sz w:val="18"/>
                      </w:rPr>
                      <w:t xml:space="preserve"> </w:t>
                    </w:r>
                    <w:r>
                      <w:rPr>
                        <w:rFonts w:ascii="URW Gothic" w:hAnsi="URW Gothic"/>
                        <w:sz w:val="18"/>
                      </w:rPr>
                      <w:t>Online</w:t>
                    </w:r>
                    <w:r>
                      <w:rPr>
                        <w:rFonts w:ascii="URW Gothic" w:hAnsi="URW Gothic"/>
                        <w:spacing w:val="-10"/>
                        <w:sz w:val="18"/>
                      </w:rPr>
                      <w:t xml:space="preserve"> </w:t>
                    </w:r>
                    <w:r>
                      <w:rPr>
                        <w:rFonts w:ascii="URW Gothic" w:hAnsi="URW Gothic"/>
                        <w:sz w:val="18"/>
                      </w:rPr>
                      <w:t>@ http//:</w:t>
                    </w:r>
                    <w:r>
                      <w:rPr>
                        <w:rFonts w:ascii="URW Gothic" w:hAnsi="URW Gothic"/>
                        <w:spacing w:val="-9"/>
                        <w:sz w:val="18"/>
                      </w:rPr>
                      <w:t xml:space="preserve"> </w:t>
                    </w:r>
                    <w:hyperlink r:id="rId3">
                      <w:r>
                        <w:rPr>
                          <w:rFonts w:ascii="URW Gothic" w:hAnsi="URW Gothic"/>
                          <w:sz w:val="18"/>
                        </w:rPr>
                        <w:t>www.ajhtl.com</w:t>
                      </w:r>
                    </w:hyperlink>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029"/>
    <w:rsid w:val="00A24DEF"/>
    <w:rsid w:val="00BF4029"/>
    <w:rsid w:val="00D73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04"/>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85"/>
      <w:ind w:left="278" w:right="292"/>
      <w:jc w:val="center"/>
    </w:pPr>
    <w:rPr>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4"/>
    </w:pPr>
  </w:style>
  <w:style w:type="paragraph" w:styleId="BalloonText">
    <w:name w:val="Balloon Text"/>
    <w:basedOn w:val="Normal"/>
    <w:link w:val="BalloonTextChar"/>
    <w:uiPriority w:val="99"/>
    <w:semiHidden/>
    <w:unhideWhenUsed/>
    <w:rsid w:val="00D7301A"/>
    <w:rPr>
      <w:rFonts w:ascii="Tahoma" w:hAnsi="Tahoma" w:cs="Tahoma"/>
      <w:sz w:val="16"/>
      <w:szCs w:val="16"/>
    </w:rPr>
  </w:style>
  <w:style w:type="character" w:customStyle="1" w:styleId="BalloonTextChar">
    <w:name w:val="Balloon Text Char"/>
    <w:basedOn w:val="DefaultParagraphFont"/>
    <w:link w:val="BalloonText"/>
    <w:uiPriority w:val="99"/>
    <w:semiHidden/>
    <w:rsid w:val="00D7301A"/>
    <w:rPr>
      <w:rFonts w:ascii="Tahoma" w:eastAsia="Arial"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04"/>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85"/>
      <w:ind w:left="278" w:right="292"/>
      <w:jc w:val="center"/>
    </w:pPr>
    <w:rPr>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4"/>
    </w:pPr>
  </w:style>
  <w:style w:type="paragraph" w:styleId="BalloonText">
    <w:name w:val="Balloon Text"/>
    <w:basedOn w:val="Normal"/>
    <w:link w:val="BalloonTextChar"/>
    <w:uiPriority w:val="99"/>
    <w:semiHidden/>
    <w:unhideWhenUsed/>
    <w:rsid w:val="00D7301A"/>
    <w:rPr>
      <w:rFonts w:ascii="Tahoma" w:hAnsi="Tahoma" w:cs="Tahoma"/>
      <w:sz w:val="16"/>
      <w:szCs w:val="16"/>
    </w:rPr>
  </w:style>
  <w:style w:type="character" w:customStyle="1" w:styleId="BalloonTextChar">
    <w:name w:val="Balloon Text Char"/>
    <w:basedOn w:val="DefaultParagraphFont"/>
    <w:link w:val="BalloonText"/>
    <w:uiPriority w:val="99"/>
    <w:semiHidden/>
    <w:rsid w:val="00D7301A"/>
    <w:rPr>
      <w:rFonts w:ascii="Tahoma" w:eastAsia="Arial"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gso.gov.vn/default.aspx?tabid=392&amp;idmid=3&amp;ItemID=13100" TargetMode="External"/><Relationship Id="rId3" Type="http://schemas.openxmlformats.org/officeDocument/2006/relationships/settings" Target="settings.xml"/><Relationship Id="rId7" Type="http://schemas.openxmlformats.org/officeDocument/2006/relationships/hyperlink" Target="mailto:letandtu@gmail.com" TargetMode="External"/><Relationship Id="rId12" Type="http://schemas.openxmlformats.org/officeDocument/2006/relationships/hyperlink" Target="http://unctadxiii.org/en/Presentation/uxiii2012GSF_S1_Favilla.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ajhtl.com/" TargetMode="External"/><Relationship Id="rId2" Type="http://schemas.openxmlformats.org/officeDocument/2006/relationships/hyperlink" Target="http://www.ajhtl.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8119</Words>
  <Characters>46279</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BEH journal article submission template</vt:lpstr>
    </vt:vector>
  </TitlesOfParts>
  <Company/>
  <LinksUpToDate>false</LinksUpToDate>
  <CharactersWithSpaces>54290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BEH journal article submission template</dc:title>
  <dc:creator>PRADEC Publishing</dc:creator>
  <cp:lastModifiedBy>KimAnh</cp:lastModifiedBy>
  <cp:revision>2</cp:revision>
  <dcterms:created xsi:type="dcterms:W3CDTF">2023-06-19T01:47:00Z</dcterms:created>
  <dcterms:modified xsi:type="dcterms:W3CDTF">2023-06-19T01:47:00Z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2020-01-07T00:00:00Z</vt:filetime>
  </property>
  <property fmtid="{D5CDD505-2E9C-101B-9397-08002B2CF9AE}" pid="3" name="Creator">
    <vt:lpwstr>Microsoft® Word 2016</vt:lpwstr>
  </property>
  <property fmtid="{D5CDD505-2E9C-101B-9397-08002B2CF9AE}" pid="4" name="LastSaved">
    <vt:filetime>2023-06-19T00:00:00Z</vt:filetime>
  </property>
</Properties>
</file>