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464F" w14:textId="73C04947" w:rsidR="00F910DC" w:rsidRPr="00F910DC" w:rsidRDefault="00F910DC" w:rsidP="003D2209">
      <w:pPr>
        <w:spacing w:before="120" w:after="12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A1A1A"/>
          <w:lang w:val="vi-VN"/>
        </w:rPr>
      </w:pPr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CHỨNG TỪ THANH TOÁN KHÔNG DÙNG TIỀN MẶT </w:t>
      </w:r>
      <w:r w:rsidRPr="00F910DC">
        <w:rPr>
          <w:rFonts w:ascii="Times New Roman" w:eastAsia="Times New Roman" w:hAnsi="Times New Roman" w:cs="Times New Roman"/>
          <w:b/>
          <w:bCs/>
          <w:color w:val="1A1A1A"/>
          <w:lang w:val="vi-VN"/>
        </w:rPr>
        <w:t>_ PHÂN LOẠI</w:t>
      </w:r>
    </w:p>
    <w:p w14:paraId="32C815BD" w14:textId="79A94B96" w:rsidR="00F910DC" w:rsidRPr="00F910DC" w:rsidRDefault="00F910DC" w:rsidP="003D2209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1A1A1A"/>
          <w:lang w:val="vi-VN"/>
        </w:rPr>
      </w:pPr>
      <w:r w:rsidRPr="00F910DC">
        <w:rPr>
          <w:rFonts w:ascii="Times New Roman" w:eastAsia="Times New Roman" w:hAnsi="Times New Roman" w:cs="Times New Roman"/>
          <w:b/>
          <w:bCs/>
          <w:color w:val="1A1A1A"/>
          <w:lang w:val="vi-VN"/>
        </w:rPr>
        <w:t>1. Khái niệm</w:t>
      </w:r>
    </w:p>
    <w:p w14:paraId="162F68E8" w14:textId="77777777" w:rsidR="00F910DC" w:rsidRPr="00F910DC" w:rsidRDefault="00F910DC" w:rsidP="003D2209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thuật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ngữ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chỉ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loại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giấy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tờ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vật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mang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tin phản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ánh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về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nghiệp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kinh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chính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phát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sinh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hoàn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thành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căn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cứ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thực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chi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.</w:t>
      </w:r>
    </w:p>
    <w:p w14:paraId="44F1110D" w14:textId="424DB804" w:rsidR="00F910DC" w:rsidRPr="00F910DC" w:rsidRDefault="00F910DC" w:rsidP="003D2209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</w:t>
      </w:r>
      <w:r w:rsidRPr="00F910DC">
        <w:rPr>
          <w:rFonts w:ascii="Times New Roman" w:eastAsia="Times New Roman" w:hAnsi="Times New Roman" w:cs="Times New Roman"/>
          <w:color w:val="1A1A1A"/>
        </w:rPr>
        <w:t>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mặt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một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loại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giấy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tờ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liệu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ghi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nhận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tin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về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chi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mục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đích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vụ, 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pháp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luật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lý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nhưng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bằng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mặt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qua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phương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như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: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thẻ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ủy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nhiệm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ủy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nhiệm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chi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hoặc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lệnh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chi,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…</w:t>
      </w:r>
    </w:p>
    <w:p w14:paraId="6F27FD15" w14:textId="57E62199" w:rsidR="00F910DC" w:rsidRPr="00F910DC" w:rsidRDefault="00F910DC" w:rsidP="003D2209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1A1A1A"/>
        </w:rPr>
      </w:pPr>
      <w:bookmarkStart w:id="0" w:name="vai"/>
      <w:bookmarkEnd w:id="0"/>
      <w:r w:rsidRPr="00F910DC">
        <w:rPr>
          <w:rFonts w:ascii="Times New Roman" w:eastAsia="Times New Roman" w:hAnsi="Times New Roman" w:cs="Times New Roman"/>
          <w:b/>
          <w:bCs/>
          <w:color w:val="1A1A1A"/>
          <w:lang w:val="vi-VN"/>
        </w:rPr>
        <w:t xml:space="preserve">2.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Vai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trò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không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mặt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</w:p>
    <w:p w14:paraId="6C24F4E7" w14:textId="77777777" w:rsidR="00F910DC" w:rsidRPr="00F910DC" w:rsidRDefault="00F910DC" w:rsidP="003D2209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1A1A1A"/>
        </w:rPr>
      </w:pPr>
      <w:r w:rsidRPr="00F910DC">
        <w:rPr>
          <w:rFonts w:ascii="Times New Roman" w:eastAsia="Times New Roman" w:hAnsi="Times New Roman" w:cs="Times New Roman"/>
          <w:color w:val="1A1A1A"/>
        </w:rPr>
        <w:t xml:space="preserve">Theo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tại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 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tư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26/2015/TT-BTC,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mặt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đóng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vai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trò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căn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cứ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xác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điều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khấu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tăng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(GTGT)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đầu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chi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phí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tính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nhập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nghiệp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(TNDN),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:</w:t>
      </w:r>
    </w:p>
    <w:p w14:paraId="60D43FDF" w14:textId="1A60CA16" w:rsidR="00F910DC" w:rsidRPr="00F910DC" w:rsidRDefault="00F910DC" w:rsidP="003D2209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Đối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khấu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GTGT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đầu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vào</w:t>
      </w:r>
      <w:proofErr w:type="spellEnd"/>
    </w:p>
    <w:p w14:paraId="49A334E3" w14:textId="77777777" w:rsidR="00F910DC" w:rsidRPr="00F910DC" w:rsidRDefault="00F910DC" w:rsidP="003D2209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Một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trong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những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điều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nghiệp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 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khấu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GTGT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đầu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 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mặt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đối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(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tính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nhập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khẩu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)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20.000.000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đồng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trở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(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bao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gồm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VAT),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ngoại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trường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:</w:t>
      </w:r>
    </w:p>
    <w:p w14:paraId="1530D15E" w14:textId="77777777" w:rsidR="00F910DC" w:rsidRPr="00F910DC" w:rsidRDefault="00F910DC" w:rsidP="003D2209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nhập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khẩu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lần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dưới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20.000.000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đồng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;</w:t>
      </w:r>
    </w:p>
    <w:p w14:paraId="0CDCC204" w14:textId="77777777" w:rsidR="00F910DC" w:rsidRPr="00F910DC" w:rsidRDefault="00F910DC" w:rsidP="003D2209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lần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dưới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20.000.000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đồng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(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VAT);</w:t>
      </w:r>
    </w:p>
    <w:p w14:paraId="0C0BD625" w14:textId="77777777" w:rsidR="00F910DC" w:rsidRPr="00F910DC" w:rsidRDefault="00F910DC" w:rsidP="003D2209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sở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kinh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nhập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khẩu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tặng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biếu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tổ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nước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ngoài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.</w:t>
      </w:r>
    </w:p>
    <w:p w14:paraId="3D22EFE1" w14:textId="77777777" w:rsidR="00F910DC" w:rsidRPr="00F910DC" w:rsidRDefault="00F910DC" w:rsidP="003D220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  <w:u w:val="single"/>
        </w:rPr>
        <w:t>Lưu</w:t>
      </w:r>
      <w:proofErr w:type="spellEnd"/>
      <w:r w:rsidRPr="00F910DC">
        <w:rPr>
          <w:rFonts w:ascii="Times New Roman" w:eastAsia="Times New Roman" w:hAnsi="Times New Roman" w:cs="Times New Roman"/>
          <w:color w:val="1A1A1A"/>
          <w:u w:val="single"/>
        </w:rPr>
        <w:t xml:space="preserve"> ý:</w:t>
      </w:r>
    </w:p>
    <w:p w14:paraId="00596B8D" w14:textId="77777777" w:rsidR="00F910DC" w:rsidRPr="00F910DC" w:rsidRDefault="00F910DC" w:rsidP="003D2209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Trường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sở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kinh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loại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dưới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20.000.000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đồng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nhưng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nhiều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lần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trong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1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ngày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1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cung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cấp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(*)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tổng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20.000.000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đồng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trở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thì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vẫn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khấu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tăng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đầu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nếu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qua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.</w:t>
      </w:r>
    </w:p>
    <w:p w14:paraId="017FA76A" w14:textId="77777777" w:rsidR="00F910DC" w:rsidRPr="00F910DC" w:rsidRDefault="00F910DC" w:rsidP="003D220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r w:rsidRPr="00F910DC">
        <w:rPr>
          <w:rFonts w:ascii="Times New Roman" w:eastAsia="Times New Roman" w:hAnsi="Times New Roman" w:cs="Times New Roman"/>
          <w:color w:val="1A1A1A"/>
        </w:rPr>
        <w:t xml:space="preserve">(*):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cung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cấp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ở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đây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người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nộp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số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riêng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trực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tiếp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thực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thủ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tục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kê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khai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nộp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GTGT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.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Trong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trường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người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nộp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sở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kinh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cửa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thuộc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thì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mỗi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cửa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sẽ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1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cung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cấp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nếu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:</w:t>
      </w:r>
    </w:p>
    <w:p w14:paraId="194640EA" w14:textId="77777777" w:rsidR="00F910DC" w:rsidRPr="00F910DC" w:rsidRDefault="00F910DC" w:rsidP="003D2209">
      <w:pPr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cửa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này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chung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mẫu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số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sở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kinh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;</w:t>
      </w:r>
    </w:p>
    <w:p w14:paraId="373503B9" w14:textId="77777777" w:rsidR="00F910DC" w:rsidRPr="00F910DC" w:rsidRDefault="00F910DC" w:rsidP="003D2209">
      <w:pPr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đóng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dấu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cửa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sử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dụng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tiêu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“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Cửa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số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”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biệt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cửa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.</w:t>
      </w:r>
    </w:p>
    <w:p w14:paraId="07DC9D89" w14:textId="5B25D5EA" w:rsidR="00F910DC" w:rsidRPr="00F910DC" w:rsidRDefault="00F910DC" w:rsidP="003D2209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Đối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việc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xác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chi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phí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khi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tính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thu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nhập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chịu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TNDN</w:t>
      </w:r>
    </w:p>
    <w:p w14:paraId="359455A1" w14:textId="77777777" w:rsidR="00F910DC" w:rsidRPr="00F910DC" w:rsidRDefault="00F910DC" w:rsidP="003D2209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lastRenderedPageBreak/>
        <w:t>Căn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cứ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Điều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4, 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tư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96/2015/TT-BTC,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đối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chi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lần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20.000.000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đồng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trở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(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tính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VAT)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mặt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nghiệp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sẽ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xác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nhập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chịu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TNDN.</w:t>
      </w:r>
    </w:p>
    <w:p w14:paraId="73719BF8" w14:textId="5F4C84B0" w:rsidR="00F910DC" w:rsidRPr="00F910DC" w:rsidRDefault="00F910DC" w:rsidP="003D2209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1A1A1A"/>
        </w:rPr>
      </w:pPr>
      <w:bookmarkStart w:id="1" w:name="phan"/>
      <w:bookmarkEnd w:id="1"/>
      <w:r w:rsidRPr="00F910DC">
        <w:rPr>
          <w:rFonts w:ascii="Times New Roman" w:eastAsia="Times New Roman" w:hAnsi="Times New Roman" w:cs="Times New Roman"/>
          <w:b/>
          <w:bCs/>
          <w:color w:val="1A1A1A"/>
          <w:lang w:val="vi-VN"/>
        </w:rPr>
        <w:t xml:space="preserve">3.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Phân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loại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không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mặt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</w:p>
    <w:p w14:paraId="687977DF" w14:textId="77777777" w:rsidR="00F910DC" w:rsidRPr="00F910DC" w:rsidRDefault="00F910DC" w:rsidP="003D220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mặt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loại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như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sau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:</w:t>
      </w:r>
    </w:p>
    <w:p w14:paraId="16F88CBE" w14:textId="77777777" w:rsidR="00F910DC" w:rsidRPr="00F910DC" w:rsidRDefault="00F910DC" w:rsidP="003D220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qua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;</w:t>
      </w:r>
    </w:p>
    <w:p w14:paraId="583C099F" w14:textId="77777777" w:rsidR="00F910DC" w:rsidRPr="00F910DC" w:rsidRDefault="00F910DC" w:rsidP="003D220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mặt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.</w:t>
      </w:r>
    </w:p>
    <w:p w14:paraId="124A063C" w14:textId="1905EA58" w:rsidR="00F910DC" w:rsidRPr="00F910DC" w:rsidRDefault="00F910DC" w:rsidP="003D2209">
      <w:pPr>
        <w:spacing w:before="120" w:after="120" w:line="276" w:lineRule="auto"/>
        <w:outlineLvl w:val="4"/>
        <w:rPr>
          <w:rFonts w:ascii="Times New Roman" w:eastAsia="Times New Roman" w:hAnsi="Times New Roman" w:cs="Times New Roman"/>
          <w:b/>
          <w:bCs/>
          <w:color w:val="1A1A1A"/>
        </w:rPr>
      </w:pPr>
      <w:r w:rsidRPr="00F910DC">
        <w:rPr>
          <w:rFonts w:ascii="Times New Roman" w:eastAsia="Times New Roman" w:hAnsi="Times New Roman" w:cs="Times New Roman"/>
          <w:b/>
          <w:bCs/>
          <w:color w:val="1A1A1A"/>
          <w:lang w:val="vi-VN"/>
        </w:rPr>
        <w:t>3.</w:t>
      </w:r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1.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qua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ngân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hàng</w:t>
      </w:r>
      <w:proofErr w:type="spellEnd"/>
    </w:p>
    <w:p w14:paraId="3CDDEDBC" w14:textId="77777777" w:rsidR="00F910DC" w:rsidRPr="00F910DC" w:rsidRDefault="00F910DC" w:rsidP="003D2209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hiểu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qua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loại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ghi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nhận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về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việc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chuyển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sang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.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này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mở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tại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những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tổ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cung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hình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phù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pháp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luật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.</w:t>
      </w:r>
    </w:p>
    <w:p w14:paraId="28F61925" w14:textId="77777777" w:rsidR="00F910DC" w:rsidRPr="00F910DC" w:rsidRDefault="00F910DC" w:rsidP="003D2209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qua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:</w:t>
      </w:r>
    </w:p>
    <w:p w14:paraId="042F5DBD" w14:textId="77777777" w:rsidR="00F910DC" w:rsidRPr="00F910DC" w:rsidRDefault="00F910DC" w:rsidP="003D2209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r w:rsidRPr="00F910DC">
        <w:rPr>
          <w:rFonts w:ascii="Times New Roman" w:eastAsia="Times New Roman" w:hAnsi="Times New Roman" w:cs="Times New Roman"/>
          <w:color w:val="1A1A1A"/>
        </w:rPr>
        <w:t xml:space="preserve">Sim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thoại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(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ví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tử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),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thẻ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tín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dụng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thẻ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ủy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nhiệm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nhờ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ủy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nhiệm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chi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hoặc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lệnh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chi,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;</w:t>
      </w:r>
    </w:p>
    <w:p w14:paraId="282BBF1A" w14:textId="77777777" w:rsidR="00F910DC" w:rsidRPr="00F910DC" w:rsidRDefault="00F910DC" w:rsidP="003D2209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hình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bao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gồm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trường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sang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trong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hoặc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mang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chủ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 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nghiệp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tư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.</w:t>
      </w:r>
    </w:p>
    <w:p w14:paraId="314F1F10" w14:textId="679AB5AF" w:rsidR="00F910DC" w:rsidRPr="00F910DC" w:rsidRDefault="00F910DC" w:rsidP="003D2209">
      <w:pPr>
        <w:spacing w:before="120" w:after="120" w:line="276" w:lineRule="auto"/>
        <w:outlineLvl w:val="4"/>
        <w:rPr>
          <w:rFonts w:ascii="Times New Roman" w:eastAsia="Times New Roman" w:hAnsi="Times New Roman" w:cs="Times New Roman"/>
          <w:b/>
          <w:bCs/>
          <w:color w:val="1A1A1A"/>
        </w:rPr>
      </w:pPr>
      <w:r w:rsidRPr="00F910DC">
        <w:rPr>
          <w:rFonts w:ascii="Times New Roman" w:eastAsia="Times New Roman" w:hAnsi="Times New Roman" w:cs="Times New Roman"/>
          <w:b/>
          <w:bCs/>
          <w:color w:val="1A1A1A"/>
          <w:lang w:val="vi-VN"/>
        </w:rPr>
        <w:t>3.</w:t>
      </w:r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2.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không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mặt</w:t>
      </w:r>
      <w:proofErr w:type="spellEnd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b/>
          <w:bCs/>
          <w:color w:val="1A1A1A"/>
        </w:rPr>
        <w:t>khác</w:t>
      </w:r>
      <w:proofErr w:type="spellEnd"/>
    </w:p>
    <w:p w14:paraId="436781C1" w14:textId="77777777" w:rsidR="00F910DC" w:rsidRPr="00F910DC" w:rsidRDefault="00F910DC" w:rsidP="003D2209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Ngoài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qua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thì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còn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trường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dùng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mặt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ghi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nhận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khấu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GTGT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đầu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như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:</w:t>
      </w:r>
    </w:p>
    <w:p w14:paraId="74E993E4" w14:textId="0CCC9CA9" w:rsidR="00F910DC" w:rsidRPr="00F910DC" w:rsidRDefault="00F910DC" w:rsidP="003D2209">
      <w:pPr>
        <w:spacing w:before="120" w:after="120" w:line="276" w:lineRule="auto"/>
        <w:rPr>
          <w:rFonts w:ascii="Times New Roman" w:eastAsia="Times New Roman" w:hAnsi="Times New Roman" w:cs="Times New Roman"/>
          <w:color w:val="1A1A1A"/>
        </w:rPr>
      </w:pPr>
      <w:r w:rsidRPr="00F910DC">
        <w:rPr>
          <w:rFonts w:ascii="Times New Roman" w:eastAsia="Times New Roman" w:hAnsi="Times New Roman" w:cs="Times New Roman"/>
          <w:color w:val="1A1A1A"/>
          <w:lang w:val="vi-VN"/>
        </w:rPr>
        <w:t xml:space="preserve">-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nghiệp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phương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bù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giữa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ra hay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vay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mượn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.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ghi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nhận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 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khấu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GTGT,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phương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này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cần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đảm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bảo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điều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sau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:</w:t>
      </w:r>
    </w:p>
    <w:p w14:paraId="3FDB764F" w14:textId="77777777" w:rsidR="00F910DC" w:rsidRPr="00F910DC" w:rsidRDefault="00F910DC" w:rsidP="003D2209">
      <w:pPr>
        <w:numPr>
          <w:ilvl w:val="1"/>
          <w:numId w:val="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trong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đồng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;</w:t>
      </w:r>
    </w:p>
    <w:p w14:paraId="61567E80" w14:textId="77777777" w:rsidR="00F910DC" w:rsidRPr="00F910DC" w:rsidRDefault="00F910DC" w:rsidP="003D2209">
      <w:pPr>
        <w:numPr>
          <w:ilvl w:val="1"/>
          <w:numId w:val="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biên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đối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chiếu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số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liệu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xác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nhận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về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việc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đôi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.</w:t>
      </w:r>
    </w:p>
    <w:p w14:paraId="4E3FF17B" w14:textId="42960622" w:rsidR="00F910DC" w:rsidRPr="00F910DC" w:rsidRDefault="00F910DC" w:rsidP="003D2209">
      <w:pPr>
        <w:spacing w:before="120" w:after="120" w:line="276" w:lineRule="auto"/>
        <w:rPr>
          <w:rFonts w:ascii="Times New Roman" w:eastAsia="Times New Roman" w:hAnsi="Times New Roman" w:cs="Times New Roman"/>
          <w:color w:val="1A1A1A"/>
        </w:rPr>
      </w:pPr>
      <w:r w:rsidRPr="00F910DC">
        <w:rPr>
          <w:rFonts w:ascii="Times New Roman" w:eastAsia="Times New Roman" w:hAnsi="Times New Roman" w:cs="Times New Roman"/>
          <w:color w:val="1A1A1A"/>
          <w:lang w:val="vi-VN"/>
        </w:rPr>
        <w:t xml:space="preserve">-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nghiệp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phương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bù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như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mượn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vay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hoặc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cấn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công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qua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người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3.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Phương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này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cần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đảm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bảo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đáp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điều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:</w:t>
      </w:r>
    </w:p>
    <w:p w14:paraId="061FD4A1" w14:textId="77777777" w:rsidR="00F910DC" w:rsidRPr="00F910DC" w:rsidRDefault="00F910DC" w:rsidP="003D2209">
      <w:pPr>
        <w:numPr>
          <w:ilvl w:val="1"/>
          <w:numId w:val="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trong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đồng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;</w:t>
      </w:r>
    </w:p>
    <w:p w14:paraId="0E2CC8E8" w14:textId="77777777" w:rsidR="00F910DC" w:rsidRPr="00F910DC" w:rsidRDefault="00F910DC" w:rsidP="003D2209">
      <w:pPr>
        <w:numPr>
          <w:ilvl w:val="1"/>
          <w:numId w:val="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đồng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mượn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vay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dưới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dạng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văn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lập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trước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;</w:t>
      </w:r>
    </w:p>
    <w:p w14:paraId="67242A65" w14:textId="77777777" w:rsidR="00F910DC" w:rsidRPr="00F910DC" w:rsidRDefault="00F910DC" w:rsidP="003D2209">
      <w:pPr>
        <w:numPr>
          <w:ilvl w:val="1"/>
          <w:numId w:val="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Đối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vay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bằng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phải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chuyển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vay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sang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vay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(bao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gồm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trường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lastRenderedPageBreak/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bù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người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nhờ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người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chi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hộ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hoặc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người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hỗ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người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).</w:t>
      </w:r>
    </w:p>
    <w:p w14:paraId="717B54C8" w14:textId="10DBA5BB" w:rsidR="00F910DC" w:rsidRPr="00F910DC" w:rsidRDefault="00F910DC" w:rsidP="003D2209">
      <w:pPr>
        <w:spacing w:before="120" w:after="120" w:line="276" w:lineRule="auto"/>
        <w:rPr>
          <w:rFonts w:ascii="Times New Roman" w:eastAsia="Times New Roman" w:hAnsi="Times New Roman" w:cs="Times New Roman"/>
          <w:color w:val="1A1A1A"/>
        </w:rPr>
      </w:pPr>
      <w:r w:rsidRPr="00F910DC">
        <w:rPr>
          <w:rFonts w:ascii="Times New Roman" w:eastAsia="Times New Roman" w:hAnsi="Times New Roman" w:cs="Times New Roman"/>
          <w:color w:val="1A1A1A"/>
          <w:lang w:val="vi-VN"/>
        </w:rPr>
        <w:t xml:space="preserve">-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nghiệp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bằng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ủy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qua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.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điều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phương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này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cần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đảm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bảo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ghi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nhận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khấu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GTGT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gồm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:</w:t>
      </w:r>
    </w:p>
    <w:p w14:paraId="237072AC" w14:textId="77777777" w:rsidR="00F910DC" w:rsidRPr="00F910DC" w:rsidRDefault="00F910DC" w:rsidP="003D2209">
      <w:pPr>
        <w:numPr>
          <w:ilvl w:val="1"/>
          <w:numId w:val="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Phương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đã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rõ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trong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đồng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;</w:t>
      </w:r>
    </w:p>
    <w:p w14:paraId="2BEBE742" w14:textId="77777777" w:rsidR="00F910DC" w:rsidRPr="00F910DC" w:rsidRDefault="00F910DC" w:rsidP="003D2209">
      <w:pPr>
        <w:numPr>
          <w:ilvl w:val="1"/>
          <w:numId w:val="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1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thể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hoặc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 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pháp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 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đang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hoạt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động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đúng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pháp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luật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.</w:t>
      </w:r>
    </w:p>
    <w:p w14:paraId="1413A05A" w14:textId="6DCA95FF" w:rsidR="00F910DC" w:rsidRPr="00F910DC" w:rsidRDefault="00F910DC" w:rsidP="003D2209">
      <w:pPr>
        <w:spacing w:before="120" w:after="120" w:line="276" w:lineRule="auto"/>
        <w:rPr>
          <w:rFonts w:ascii="Times New Roman" w:eastAsia="Times New Roman" w:hAnsi="Times New Roman" w:cs="Times New Roman"/>
          <w:color w:val="1A1A1A"/>
        </w:rPr>
      </w:pPr>
      <w:r w:rsidRPr="00F910DC">
        <w:rPr>
          <w:rFonts w:ascii="Times New Roman" w:eastAsia="Times New Roman" w:hAnsi="Times New Roman" w:cs="Times New Roman"/>
          <w:color w:val="1A1A1A"/>
          <w:lang w:val="vi-VN"/>
        </w:rPr>
        <w:t xml:space="preserve">-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Doanh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nghiệp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mua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dịch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vụ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hóa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phương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qua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ngân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hàng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vào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khoản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3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mở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tại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Kho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nước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nhằm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thực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việc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cưỡng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bằng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pháp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tài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sản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do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nhân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,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tổ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đang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nắm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giữ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(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theo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quyết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định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của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quan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nhà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nước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thẩm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quyền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>).</w:t>
      </w:r>
    </w:p>
    <w:p w14:paraId="4FFB5A36" w14:textId="77777777" w:rsidR="00F910DC" w:rsidRPr="00F910DC" w:rsidRDefault="00F910DC" w:rsidP="003D220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  <w:u w:val="single"/>
        </w:rPr>
        <w:t>Lưu</w:t>
      </w:r>
      <w:proofErr w:type="spellEnd"/>
      <w:r w:rsidRPr="00F910DC">
        <w:rPr>
          <w:rFonts w:ascii="Times New Roman" w:eastAsia="Times New Roman" w:hAnsi="Times New Roman" w:cs="Times New Roman"/>
          <w:color w:val="1A1A1A"/>
          <w:u w:val="single"/>
        </w:rPr>
        <w:t xml:space="preserve"> ý:</w:t>
      </w:r>
    </w:p>
    <w:p w14:paraId="79EA542D" w14:textId="6DCCC3FD" w:rsidR="00F910DC" w:rsidRPr="00F910DC" w:rsidRDefault="00F910DC" w:rsidP="003D220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1A1A1A"/>
        </w:rPr>
      </w:pP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Nếu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sau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thực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hiện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các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hình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thức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nêu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mà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phần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còn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lại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thanh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toán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bằng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tiền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có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giá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trị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20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triệu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đồng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trở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lên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thì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chỉ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được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khấu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trừ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thuế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đối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với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trường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  <w:proofErr w:type="spellStart"/>
      <w:r w:rsidRPr="00F910DC">
        <w:rPr>
          <w:rFonts w:ascii="Times New Roman" w:eastAsia="Times New Roman" w:hAnsi="Times New Roman" w:cs="Times New Roman"/>
          <w:color w:val="1A1A1A"/>
        </w:rPr>
        <w:t>hợp</w:t>
      </w:r>
      <w:proofErr w:type="spellEnd"/>
      <w:r w:rsidRPr="00F910DC"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2DAC3211" w14:textId="77777777" w:rsidR="00F910DC" w:rsidRPr="00F910DC" w:rsidRDefault="00F910DC" w:rsidP="003D2209">
      <w:pPr>
        <w:spacing w:before="120" w:after="120" w:line="276" w:lineRule="auto"/>
        <w:rPr>
          <w:rFonts w:ascii="Times New Roman" w:eastAsia="Times New Roman" w:hAnsi="Times New Roman" w:cs="Times New Roman"/>
        </w:rPr>
      </w:pPr>
    </w:p>
    <w:p w14:paraId="06015AE0" w14:textId="7F4C78A8" w:rsidR="00F910DC" w:rsidRPr="003D2209" w:rsidRDefault="003D2209" w:rsidP="003D2209">
      <w:pPr>
        <w:spacing w:before="120" w:after="120" w:line="276" w:lineRule="auto"/>
        <w:jc w:val="right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</w:rPr>
        <w:t>GV</w:t>
      </w:r>
      <w:r>
        <w:rPr>
          <w:rFonts w:ascii="Times New Roman" w:hAnsi="Times New Roman" w:cs="Times New Roman"/>
          <w:lang w:val="vi-VN"/>
        </w:rPr>
        <w:t>_ Nguyễn Thị Đoan Trang</w:t>
      </w:r>
    </w:p>
    <w:sectPr w:rsidR="00F910DC" w:rsidRPr="003D22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C5E"/>
    <w:multiLevelType w:val="multilevel"/>
    <w:tmpl w:val="B186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443DD"/>
    <w:multiLevelType w:val="multilevel"/>
    <w:tmpl w:val="823C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32A62"/>
    <w:multiLevelType w:val="multilevel"/>
    <w:tmpl w:val="7738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B1045"/>
    <w:multiLevelType w:val="multilevel"/>
    <w:tmpl w:val="B412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B3435"/>
    <w:multiLevelType w:val="multilevel"/>
    <w:tmpl w:val="0B90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C1695"/>
    <w:multiLevelType w:val="multilevel"/>
    <w:tmpl w:val="FBBA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8165F"/>
    <w:multiLevelType w:val="multilevel"/>
    <w:tmpl w:val="CF5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F6C55"/>
    <w:multiLevelType w:val="multilevel"/>
    <w:tmpl w:val="8B94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DC"/>
    <w:rsid w:val="00284EAC"/>
    <w:rsid w:val="003D2209"/>
    <w:rsid w:val="00F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3205B"/>
  <w15:chartTrackingRefBased/>
  <w15:docId w15:val="{0B9EF159-8599-CC45-9EFB-F46A413A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10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910DC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10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910D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910DC"/>
    <w:rPr>
      <w:b/>
      <w:bCs/>
    </w:rPr>
  </w:style>
  <w:style w:type="paragraph" w:customStyle="1" w:styleId="ez-toc-title">
    <w:name w:val="ez-toc-title"/>
    <w:basedOn w:val="Normal"/>
    <w:rsid w:val="00F910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z-toc-page-1">
    <w:name w:val="ez-toc-page-1"/>
    <w:basedOn w:val="Normal"/>
    <w:rsid w:val="00F910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910DC"/>
    <w:rPr>
      <w:color w:val="0000FF"/>
      <w:u w:val="single"/>
    </w:rPr>
  </w:style>
  <w:style w:type="paragraph" w:customStyle="1" w:styleId="ez-toc-heading-level-5">
    <w:name w:val="ez-toc-heading-level-5"/>
    <w:basedOn w:val="Normal"/>
    <w:rsid w:val="00F910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910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910DC"/>
  </w:style>
  <w:style w:type="paragraph" w:styleId="ListParagraph">
    <w:name w:val="List Paragraph"/>
    <w:basedOn w:val="Normal"/>
    <w:uiPriority w:val="34"/>
    <w:qFormat/>
    <w:rsid w:val="00F9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8916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2024-12-12T03:31:00Z</dcterms:created>
  <dcterms:modified xsi:type="dcterms:W3CDTF">2024-12-12T03:38:00Z</dcterms:modified>
</cp:coreProperties>
</file>