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FA" w:rsidRDefault="00067CE1">
      <w:pPr>
        <w:rPr>
          <w:rFonts w:ascii="Times New Roman" w:hAnsi="Times New Roman" w:cs="Times New Roman"/>
          <w:b/>
          <w:sz w:val="30"/>
          <w:szCs w:val="30"/>
        </w:rPr>
      </w:pPr>
      <w:r w:rsidRPr="00025ED7">
        <w:rPr>
          <w:rFonts w:ascii="Times New Roman" w:hAnsi="Times New Roman" w:cs="Times New Roman"/>
          <w:b/>
          <w:sz w:val="30"/>
          <w:szCs w:val="30"/>
        </w:rPr>
        <w:t xml:space="preserve">Vận dụng mô hình FAMA – FRENCH </w:t>
      </w:r>
      <w:r w:rsidR="0018332B" w:rsidRPr="00025ED7">
        <w:rPr>
          <w:rFonts w:ascii="Times New Roman" w:hAnsi="Times New Roman" w:cs="Times New Roman"/>
          <w:b/>
          <w:sz w:val="30"/>
          <w:szCs w:val="30"/>
        </w:rPr>
        <w:t xml:space="preserve">ba </w:t>
      </w:r>
      <w:r w:rsidRPr="00025ED7">
        <w:rPr>
          <w:rFonts w:ascii="Times New Roman" w:hAnsi="Times New Roman" w:cs="Times New Roman"/>
          <w:b/>
          <w:sz w:val="30"/>
          <w:szCs w:val="30"/>
        </w:rPr>
        <w:t xml:space="preserve"> nhân tố  trong </w:t>
      </w:r>
      <w:r w:rsidR="00AF3671" w:rsidRPr="00025ED7">
        <w:rPr>
          <w:rFonts w:ascii="Times New Roman" w:hAnsi="Times New Roman" w:cs="Times New Roman"/>
          <w:b/>
          <w:sz w:val="30"/>
          <w:szCs w:val="30"/>
        </w:rPr>
        <w:t>trong hoạt động đầu tư.</w:t>
      </w:r>
    </w:p>
    <w:p w:rsidR="00A249D3" w:rsidRPr="00A249D3" w:rsidRDefault="00A249D3" w:rsidP="00A249D3">
      <w:pPr>
        <w:ind w:left="2880" w:firstLine="720"/>
        <w:rPr>
          <w:rFonts w:ascii="Times New Roman" w:hAnsi="Times New Roman" w:cs="Times New Roman"/>
          <w:sz w:val="26"/>
          <w:szCs w:val="26"/>
        </w:rPr>
      </w:pPr>
      <w:bookmarkStart w:id="0" w:name="_GoBack"/>
      <w:bookmarkEnd w:id="0"/>
      <w:r w:rsidRPr="00A249D3">
        <w:rPr>
          <w:rFonts w:ascii="Times New Roman" w:hAnsi="Times New Roman" w:cs="Times New Roman"/>
          <w:sz w:val="26"/>
          <w:szCs w:val="26"/>
        </w:rPr>
        <w:t>Th.s Mai Thị Quỳnh Như</w:t>
      </w:r>
    </w:p>
    <w:p w:rsidR="00A249D3" w:rsidRPr="00A249D3" w:rsidRDefault="00A249D3" w:rsidP="00A249D3">
      <w:pPr>
        <w:ind w:left="2880" w:firstLine="720"/>
        <w:rPr>
          <w:rFonts w:ascii="Times New Roman" w:hAnsi="Times New Roman" w:cs="Times New Roman"/>
          <w:sz w:val="26"/>
          <w:szCs w:val="26"/>
        </w:rPr>
      </w:pPr>
      <w:r w:rsidRPr="00A249D3">
        <w:rPr>
          <w:rFonts w:ascii="Times New Roman" w:hAnsi="Times New Roman" w:cs="Times New Roman"/>
          <w:sz w:val="26"/>
          <w:szCs w:val="26"/>
        </w:rPr>
        <w:t>Khoa Kế toán – Đại học Duy Tân</w:t>
      </w:r>
    </w:p>
    <w:p w:rsidR="0018332B" w:rsidRPr="00025ED7" w:rsidRDefault="0018332B" w:rsidP="00DA4AF5">
      <w:pPr>
        <w:spacing w:after="0" w:line="360" w:lineRule="auto"/>
        <w:rPr>
          <w:rFonts w:ascii="Times New Roman" w:eastAsia="Times New Roman" w:hAnsi="Times New Roman" w:cs="Times New Roman"/>
          <w:sz w:val="26"/>
          <w:szCs w:val="26"/>
        </w:rPr>
      </w:pPr>
      <w:r w:rsidRPr="00025ED7">
        <w:rPr>
          <w:rFonts w:ascii="Times New Roman" w:hAnsi="Times New Roman" w:cs="Times New Roman"/>
          <w:sz w:val="26"/>
          <w:szCs w:val="26"/>
        </w:rPr>
        <w:t xml:space="preserve">Mô hình 3 nhân tố Fama và Frech hay gọi tắt là mô hình Farma Pháp </w:t>
      </w:r>
      <w:r w:rsidRPr="00025ED7">
        <w:rPr>
          <w:rFonts w:ascii="Times New Roman" w:eastAsia="Times New Roman" w:hAnsi="Times New Roman" w:cs="Times New Roman"/>
          <w:sz w:val="26"/>
          <w:szCs w:val="26"/>
          <w:lang w:val="vi-VN"/>
        </w:rPr>
        <w:t xml:space="preserve">là một mô hình định giá tài sản được phát triển vào năm 1992, mở rộng trên mô hình định giá tài sản vốn (CAPM) bằng cách thêm các yếu tố rủi ro về quy mô </w:t>
      </w:r>
      <w:r w:rsidRPr="00025ED7">
        <w:rPr>
          <w:rFonts w:ascii="Times New Roman" w:hAnsi="Times New Roman" w:cs="Times New Roman"/>
          <w:sz w:val="26"/>
          <w:szCs w:val="26"/>
        </w:rPr>
        <w:t xml:space="preserve"> vào yếu tố rủi ro thị trường trong mô hình định giá tài sản vốn CAPM.</w:t>
      </w:r>
      <w:r w:rsidRPr="00025ED7">
        <w:rPr>
          <w:rFonts w:ascii="Times New Roman" w:eastAsia="Times New Roman" w:hAnsi="Times New Roman" w:cs="Times New Roman"/>
          <w:sz w:val="26"/>
          <w:szCs w:val="26"/>
          <w:lang w:val="vi-VN"/>
        </w:rPr>
        <w:t xml:space="preserve"> Bằng cách bao gồm hai yếu tố bổ sung này, </w:t>
      </w:r>
      <w:r w:rsidRPr="00025ED7">
        <w:rPr>
          <w:rFonts w:ascii="Times New Roman" w:hAnsi="Times New Roman" w:cs="Times New Roman"/>
          <w:sz w:val="26"/>
          <w:szCs w:val="26"/>
        </w:rPr>
        <w:t xml:space="preserve">mô hình sẽ điều chỉnh theo xu hướng vượt trội này, </w:t>
      </w:r>
      <w:r w:rsidRPr="00025ED7">
        <w:rPr>
          <w:rFonts w:ascii="Times New Roman" w:eastAsia="Times New Roman" w:hAnsi="Times New Roman" w:cs="Times New Roman"/>
          <w:sz w:val="26"/>
          <w:szCs w:val="26"/>
          <w:lang w:val="vi-VN"/>
        </w:rPr>
        <w:t>được cho là trở thành công cụ tốt hơn để đánh giá hiệu suất của người quản lý.</w:t>
      </w:r>
    </w:p>
    <w:p w:rsidR="0018332B" w:rsidRPr="00025ED7" w:rsidRDefault="00DA4AF5">
      <w:pPr>
        <w:rPr>
          <w:rFonts w:ascii="Times New Roman" w:eastAsia="Times New Roman" w:hAnsi="Times New Roman" w:cs="Times New Roman"/>
          <w:sz w:val="26"/>
          <w:szCs w:val="26"/>
        </w:rPr>
      </w:pPr>
      <w:r w:rsidRPr="00025ED7">
        <w:rPr>
          <w:rFonts w:ascii="Times New Roman" w:eastAsia="Times New Roman" w:hAnsi="Times New Roman" w:cs="Times New Roman"/>
          <w:sz w:val="26"/>
          <w:szCs w:val="26"/>
        </w:rPr>
        <w:t>Từ khóa: Farma và F</w:t>
      </w:r>
      <w:r w:rsidR="0018332B" w:rsidRPr="00025ED7">
        <w:rPr>
          <w:rFonts w:ascii="Times New Roman" w:eastAsia="Times New Roman" w:hAnsi="Times New Roman" w:cs="Times New Roman"/>
          <w:sz w:val="26"/>
          <w:szCs w:val="26"/>
        </w:rPr>
        <w:t>rench, CAPM, định giá tài sản vốn.</w:t>
      </w:r>
    </w:p>
    <w:p w:rsidR="00DA4AF5" w:rsidRPr="00025ED7" w:rsidRDefault="00DA4AF5" w:rsidP="00DA4AF5">
      <w:pPr>
        <w:pStyle w:val="ListParagraph"/>
        <w:numPr>
          <w:ilvl w:val="0"/>
          <w:numId w:val="1"/>
        </w:numPr>
        <w:rPr>
          <w:rFonts w:ascii="Times New Roman" w:hAnsi="Times New Roman" w:cs="Times New Roman"/>
          <w:b/>
          <w:sz w:val="26"/>
          <w:szCs w:val="26"/>
        </w:rPr>
      </w:pPr>
      <w:r w:rsidRPr="00025ED7">
        <w:rPr>
          <w:rFonts w:ascii="Times New Roman" w:hAnsi="Times New Roman" w:cs="Times New Roman"/>
          <w:b/>
          <w:sz w:val="26"/>
          <w:szCs w:val="26"/>
        </w:rPr>
        <w:t>Đặt vấn đề</w:t>
      </w:r>
    </w:p>
    <w:p w:rsidR="00DA4AF5" w:rsidRPr="00025ED7" w:rsidRDefault="00DA4AF5" w:rsidP="00DA4AF5">
      <w:pPr>
        <w:spacing w:after="0" w:line="360" w:lineRule="auto"/>
        <w:rPr>
          <w:rFonts w:ascii="Roboto-Regular" w:hAnsi="Roboto-Regular"/>
          <w:sz w:val="26"/>
          <w:szCs w:val="26"/>
        </w:rPr>
      </w:pPr>
      <w:r w:rsidRPr="00025ED7">
        <w:rPr>
          <w:rFonts w:ascii="Times New Roman" w:hAnsi="Times New Roman" w:cs="Times New Roman"/>
          <w:sz w:val="26"/>
          <w:szCs w:val="26"/>
          <w:lang w:val="vi-VN"/>
        </w:rPr>
        <w:t>Eugene Fama</w:t>
      </w:r>
      <w:r w:rsidRPr="00025ED7">
        <w:rPr>
          <w:rFonts w:ascii="Times New Roman" w:hAnsi="Times New Roman" w:cs="Times New Roman"/>
          <w:sz w:val="26"/>
          <w:szCs w:val="26"/>
        </w:rPr>
        <w:t>,</w:t>
      </w:r>
      <w:r w:rsidRPr="00025ED7">
        <w:rPr>
          <w:rFonts w:ascii="Times New Roman" w:hAnsi="Times New Roman" w:cs="Times New Roman"/>
          <w:sz w:val="26"/>
          <w:szCs w:val="26"/>
          <w:lang w:val="vi-VN"/>
        </w:rPr>
        <w:t xml:space="preserve"> nhà nghiên cứu Kenneth French, cựu giáo sư tại Trường Kinh doanh Booth của Đại học Chicago, </w:t>
      </w:r>
      <w:r w:rsidRPr="00025ED7">
        <w:rPr>
          <w:rFonts w:ascii="Times New Roman" w:hAnsi="Times New Roman" w:cs="Times New Roman"/>
          <w:sz w:val="26"/>
          <w:szCs w:val="26"/>
        </w:rPr>
        <w:t xml:space="preserve">đã cố gắng đo lường lợi nhuận thị trường và qua các nghiên cứu, nhận thấy rằng cổ phiếu giá trị có mức tăng trưởng cổ phiếu vượt trội. Tương tự, các cổ phiếu vốn hóa nhỏ có xu hướng vượt trội so với các cổ phiếu vốn hóa lớn.  Theo mô hình này, hiệu suất của danh mục đầu tư với số lượng lớn cổ phiếu vốn hóa nhỏ hoặc giá trị sẽ thấp hơn kết quả CAPM, vì mô hình ba nhân tố điều chỉnh giảm </w:t>
      </w:r>
      <w:r w:rsidRPr="00025ED7">
        <w:rPr>
          <w:rFonts w:ascii="Times New Roman" w:hAnsi="Times New Roman" w:cs="Times New Roman"/>
          <w:sz w:val="26"/>
          <w:szCs w:val="26"/>
          <w:lang w:val="vi-VN"/>
        </w:rPr>
        <w:t>đối với hiệu suất cổ phiếu vốn hóa nhỏ và giá trị được quan sát</w:t>
      </w:r>
      <w:r w:rsidRPr="00025ED7">
        <w:rPr>
          <w:rFonts w:ascii="Times New Roman" w:hAnsi="Times New Roman" w:cs="Times New Roman"/>
          <w:sz w:val="26"/>
          <w:szCs w:val="26"/>
        </w:rPr>
        <w:t xml:space="preserve">.  </w:t>
      </w:r>
      <w:r w:rsidRPr="00025ED7">
        <w:rPr>
          <w:rFonts w:ascii="Times New Roman" w:hAnsi="Times New Roman" w:cs="Times New Roman"/>
          <w:sz w:val="26"/>
          <w:szCs w:val="26"/>
          <w:lang w:val="vi-VN"/>
        </w:rPr>
        <w:t xml:space="preserve">Mô hình Fama </w:t>
      </w:r>
      <w:r w:rsidRPr="00025ED7">
        <w:rPr>
          <w:rFonts w:ascii="Times New Roman" w:hAnsi="Times New Roman" w:cs="Times New Roman"/>
          <w:sz w:val="26"/>
          <w:szCs w:val="26"/>
        </w:rPr>
        <w:t xml:space="preserve">Pháp </w:t>
      </w:r>
      <w:r w:rsidRPr="00025ED7">
        <w:rPr>
          <w:rFonts w:ascii="Times New Roman" w:hAnsi="Times New Roman" w:cs="Times New Roman"/>
          <w:sz w:val="26"/>
          <w:szCs w:val="26"/>
          <w:lang w:val="vi-VN"/>
        </w:rPr>
        <w:t xml:space="preserve"> có ba yếu tố: quy mô của các công ty, giá trị sổ sách trên thị trường và lợi nhuận vượt mức trên thị trường. Nói cách khác, ba yếu tố được sử dụng là SMB (nhỏ trừ lớn), HML (cao trừ thấp) và lợi nhuận của danh mục đầu tư trừ đi tỷ suất sinh lợi phi rủi ro. SMB bao gồm các công ty giao dịch công khai có vốn hóa thị trường nhỏ tạo ra lợi nhuận cao hơn, trong khi HML chiếm các cổ phiếu có giá trị với tỷ lệ sổ sách trên thị trường cao tạo ra lợi nhuận cao hơn so với thị trường.</w:t>
      </w:r>
      <w:r w:rsidR="00AF3671" w:rsidRPr="00025ED7">
        <w:rPr>
          <w:rFonts w:ascii="Roboto-Regular" w:hAnsi="Roboto-Regular"/>
          <w:sz w:val="26"/>
          <w:szCs w:val="26"/>
        </w:rPr>
        <w:t xml:space="preserve"> Có rất nhiều tranh luận về việc xu hướng lợi nhuận vượt trội xảy ra là do tính hiệu quả hay phi hiệu quả của thị trường. Với những người cho rằng do tính hiệu quả của thị trường, lợi nhuận vượt trội thường được giải thích bởi rủi ro vượt mức mà cổ </w:t>
      </w:r>
      <w:r w:rsidR="00AF3671" w:rsidRPr="00025ED7">
        <w:rPr>
          <w:rFonts w:ascii="Roboto-Regular" w:hAnsi="Roboto-Regular"/>
          <w:sz w:val="26"/>
          <w:szCs w:val="26"/>
        </w:rPr>
        <w:lastRenderedPageBreak/>
        <w:t>phiếu giá trị và cổ phiếu vốn hóa nhỏ phải đối mặt do chi phí vốn cao hơn và rủi ro kinh doanh lớn hơn. </w:t>
      </w:r>
    </w:p>
    <w:p w:rsidR="00AF3671" w:rsidRPr="00025ED7" w:rsidRDefault="00AF3671" w:rsidP="00765CEC">
      <w:pPr>
        <w:rPr>
          <w:rFonts w:ascii="Times New Roman" w:hAnsi="Times New Roman" w:cs="Times New Roman"/>
          <w:sz w:val="26"/>
          <w:szCs w:val="26"/>
        </w:rPr>
      </w:pPr>
      <w:r w:rsidRPr="00025ED7">
        <w:rPr>
          <w:rFonts w:ascii="Roboto-Regular" w:hAnsi="Roboto-Regular"/>
          <w:sz w:val="26"/>
          <w:szCs w:val="26"/>
        </w:rPr>
        <w:t>2.</w:t>
      </w:r>
      <w:r w:rsidRPr="00025ED7">
        <w:rPr>
          <w:rFonts w:ascii="Times New Roman" w:hAnsi="Times New Roman" w:cs="Times New Roman"/>
          <w:sz w:val="26"/>
          <w:szCs w:val="26"/>
        </w:rPr>
        <w:t xml:space="preserve"> Vận dụng mô hình FAMA – FRENCH ba  nhân tố  trong trong hoạt động đầu tư.</w:t>
      </w:r>
    </w:p>
    <w:p w:rsidR="00AF3671" w:rsidRPr="00025ED7" w:rsidRDefault="00AF3671" w:rsidP="00AF3671">
      <w:pPr>
        <w:pStyle w:val="NormalWeb"/>
        <w:shd w:val="clear" w:color="auto" w:fill="FFFFFF"/>
        <w:spacing w:before="0" w:beforeAutospacing="0" w:after="0" w:afterAutospacing="0" w:line="360" w:lineRule="auto"/>
        <w:rPr>
          <w:sz w:val="26"/>
          <w:szCs w:val="26"/>
        </w:rPr>
      </w:pPr>
      <w:r w:rsidRPr="00025ED7">
        <w:rPr>
          <w:sz w:val="26"/>
          <w:szCs w:val="26"/>
        </w:rPr>
        <w:t>Mô hình được mô tả như sau:</w:t>
      </w:r>
    </w:p>
    <w:p w:rsidR="00AF3671" w:rsidRPr="00025ED7" w:rsidRDefault="00AF3671" w:rsidP="00AF3671">
      <w:pPr>
        <w:pStyle w:val="NormalWeb"/>
        <w:shd w:val="clear" w:color="auto" w:fill="FFFFFF"/>
        <w:spacing w:before="0" w:beforeAutospacing="0" w:after="0" w:afterAutospacing="0" w:line="360" w:lineRule="auto"/>
        <w:rPr>
          <w:sz w:val="26"/>
          <w:szCs w:val="26"/>
        </w:rPr>
      </w:pPr>
      <w:r w:rsidRPr="00025ED7">
        <w:rPr>
          <w:sz w:val="26"/>
          <w:szCs w:val="26"/>
        </w:rPr>
        <w:t>E(R</w:t>
      </w:r>
      <w:r w:rsidRPr="00025ED7">
        <w:rPr>
          <w:sz w:val="26"/>
          <w:szCs w:val="26"/>
          <w:bdr w:val="none" w:sz="0" w:space="0" w:color="auto" w:frame="1"/>
          <w:vertAlign w:val="subscript"/>
        </w:rPr>
        <w:t>i</w:t>
      </w:r>
      <w:r w:rsidRPr="00025ED7">
        <w:rPr>
          <w:sz w:val="26"/>
          <w:szCs w:val="26"/>
        </w:rPr>
        <w:t> ) – R</w:t>
      </w:r>
      <w:r w:rsidRPr="00025ED7">
        <w:rPr>
          <w:sz w:val="26"/>
          <w:szCs w:val="26"/>
          <w:bdr w:val="none" w:sz="0" w:space="0" w:color="auto" w:frame="1"/>
          <w:vertAlign w:val="subscript"/>
        </w:rPr>
        <w:t>f</w:t>
      </w:r>
      <w:r w:rsidRPr="00025ED7">
        <w:rPr>
          <w:sz w:val="26"/>
          <w:szCs w:val="26"/>
        </w:rPr>
        <w:t> = c + β</w:t>
      </w:r>
      <w:r w:rsidRPr="00025ED7">
        <w:rPr>
          <w:sz w:val="26"/>
          <w:szCs w:val="26"/>
          <w:bdr w:val="none" w:sz="0" w:space="0" w:color="auto" w:frame="1"/>
          <w:vertAlign w:val="subscript"/>
        </w:rPr>
        <w:t>i</w:t>
      </w:r>
      <w:r w:rsidRPr="00025ED7">
        <w:rPr>
          <w:sz w:val="26"/>
          <w:szCs w:val="26"/>
        </w:rPr>
        <w:t> [(E(R</w:t>
      </w:r>
      <w:r w:rsidRPr="00025ED7">
        <w:rPr>
          <w:sz w:val="26"/>
          <w:szCs w:val="26"/>
          <w:bdr w:val="none" w:sz="0" w:space="0" w:color="auto" w:frame="1"/>
          <w:vertAlign w:val="subscript"/>
        </w:rPr>
        <w:t>M</w:t>
      </w:r>
      <w:r w:rsidRPr="00025ED7">
        <w:rPr>
          <w:sz w:val="26"/>
          <w:szCs w:val="26"/>
        </w:rPr>
        <w:t>) – R</w:t>
      </w:r>
      <w:r w:rsidRPr="00025ED7">
        <w:rPr>
          <w:sz w:val="26"/>
          <w:szCs w:val="26"/>
          <w:bdr w:val="none" w:sz="0" w:space="0" w:color="auto" w:frame="1"/>
          <w:vertAlign w:val="subscript"/>
        </w:rPr>
        <w:t>f</w:t>
      </w:r>
      <w:r w:rsidRPr="00025ED7">
        <w:rPr>
          <w:sz w:val="26"/>
          <w:szCs w:val="26"/>
        </w:rPr>
        <w:t>] + s</w:t>
      </w:r>
      <w:r w:rsidRPr="00025ED7">
        <w:rPr>
          <w:sz w:val="26"/>
          <w:szCs w:val="26"/>
          <w:bdr w:val="none" w:sz="0" w:space="0" w:color="auto" w:frame="1"/>
          <w:vertAlign w:val="subscript"/>
        </w:rPr>
        <w:t>i</w:t>
      </w:r>
      <w:r w:rsidRPr="00025ED7">
        <w:rPr>
          <w:sz w:val="26"/>
          <w:szCs w:val="26"/>
        </w:rPr>
        <w:t>(SMB) + h</w:t>
      </w:r>
      <w:r w:rsidRPr="00025ED7">
        <w:rPr>
          <w:sz w:val="26"/>
          <w:szCs w:val="26"/>
          <w:bdr w:val="none" w:sz="0" w:space="0" w:color="auto" w:frame="1"/>
          <w:vertAlign w:val="subscript"/>
        </w:rPr>
        <w:t>i</w:t>
      </w:r>
      <w:r w:rsidRPr="00025ED7">
        <w:rPr>
          <w:sz w:val="26"/>
          <w:szCs w:val="26"/>
        </w:rPr>
        <w:t>(HML)</w:t>
      </w:r>
    </w:p>
    <w:p w:rsidR="00AF3671" w:rsidRPr="00025ED7" w:rsidRDefault="00AF3671" w:rsidP="00AF3671">
      <w:pPr>
        <w:pStyle w:val="NormalWeb"/>
        <w:shd w:val="clear" w:color="auto" w:fill="FFFFFF"/>
        <w:spacing w:before="0" w:beforeAutospacing="0" w:after="0" w:afterAutospacing="0" w:line="360" w:lineRule="auto"/>
        <w:rPr>
          <w:sz w:val="26"/>
          <w:szCs w:val="26"/>
        </w:rPr>
      </w:pPr>
      <w:r w:rsidRPr="00025ED7">
        <w:rPr>
          <w:sz w:val="26"/>
          <w:szCs w:val="26"/>
        </w:rPr>
        <w:t>Trong đó:</w:t>
      </w:r>
    </w:p>
    <w:p w:rsidR="00AF3671" w:rsidRPr="00025ED7" w:rsidRDefault="00AF3671" w:rsidP="00AF3671">
      <w:pPr>
        <w:pStyle w:val="NormalWeb"/>
        <w:shd w:val="clear" w:color="auto" w:fill="FFFFFF"/>
        <w:spacing w:before="0" w:beforeAutospacing="0" w:after="0" w:afterAutospacing="0" w:line="360" w:lineRule="auto"/>
        <w:rPr>
          <w:sz w:val="26"/>
          <w:szCs w:val="26"/>
        </w:rPr>
      </w:pPr>
      <w:r w:rsidRPr="00025ED7">
        <w:rPr>
          <w:sz w:val="26"/>
          <w:szCs w:val="26"/>
        </w:rPr>
        <w:t>– E(R</w:t>
      </w:r>
      <w:r w:rsidRPr="00025ED7">
        <w:rPr>
          <w:sz w:val="26"/>
          <w:szCs w:val="26"/>
          <w:bdr w:val="none" w:sz="0" w:space="0" w:color="auto" w:frame="1"/>
          <w:vertAlign w:val="subscript"/>
        </w:rPr>
        <w:t>i</w:t>
      </w:r>
      <w:r w:rsidRPr="00025ED7">
        <w:rPr>
          <w:sz w:val="26"/>
          <w:szCs w:val="26"/>
        </w:rPr>
        <w:t> )  : Mức lợi nhuận kỳ vọng cho danh mục i.</w:t>
      </w:r>
    </w:p>
    <w:p w:rsidR="00AF3671" w:rsidRPr="00025ED7" w:rsidRDefault="00AF3671" w:rsidP="00AF3671">
      <w:pPr>
        <w:pStyle w:val="NormalWeb"/>
        <w:shd w:val="clear" w:color="auto" w:fill="FFFFFF"/>
        <w:spacing w:before="0" w:beforeAutospacing="0" w:after="0" w:afterAutospacing="0" w:line="360" w:lineRule="auto"/>
        <w:rPr>
          <w:sz w:val="26"/>
          <w:szCs w:val="26"/>
        </w:rPr>
      </w:pPr>
      <w:r w:rsidRPr="00025ED7">
        <w:rPr>
          <w:sz w:val="26"/>
          <w:szCs w:val="26"/>
        </w:rPr>
        <w:t>– R</w:t>
      </w:r>
      <w:r w:rsidRPr="00025ED7">
        <w:rPr>
          <w:sz w:val="26"/>
          <w:szCs w:val="26"/>
          <w:bdr w:val="none" w:sz="0" w:space="0" w:color="auto" w:frame="1"/>
          <w:vertAlign w:val="subscript"/>
        </w:rPr>
        <w:t>f</w:t>
      </w:r>
      <w:r w:rsidRPr="00025ED7">
        <w:rPr>
          <w:sz w:val="26"/>
          <w:szCs w:val="26"/>
        </w:rPr>
        <w:t>   : Mức lợi nhuận không rủi ro.</w:t>
      </w:r>
    </w:p>
    <w:p w:rsidR="00AF3671" w:rsidRPr="00025ED7" w:rsidRDefault="00AF3671" w:rsidP="00AF3671">
      <w:pPr>
        <w:pStyle w:val="NormalWeb"/>
        <w:shd w:val="clear" w:color="auto" w:fill="FFFFFF"/>
        <w:spacing w:before="0" w:beforeAutospacing="0" w:after="0" w:afterAutospacing="0" w:line="360" w:lineRule="auto"/>
        <w:rPr>
          <w:sz w:val="26"/>
          <w:szCs w:val="26"/>
        </w:rPr>
      </w:pPr>
      <w:r w:rsidRPr="00025ED7">
        <w:rPr>
          <w:sz w:val="26"/>
          <w:szCs w:val="26"/>
        </w:rPr>
        <w:t>– E(R</w:t>
      </w:r>
      <w:r w:rsidRPr="00025ED7">
        <w:rPr>
          <w:sz w:val="26"/>
          <w:szCs w:val="26"/>
          <w:bdr w:val="none" w:sz="0" w:space="0" w:color="auto" w:frame="1"/>
          <w:vertAlign w:val="subscript"/>
        </w:rPr>
        <w:t>f</w:t>
      </w:r>
      <w:r w:rsidRPr="00025ED7">
        <w:rPr>
          <w:sz w:val="26"/>
          <w:szCs w:val="26"/>
        </w:rPr>
        <w:t> ) : Mức lợi nhuận kỳ vọng của toàn bộ thị trường.</w:t>
      </w:r>
    </w:p>
    <w:p w:rsidR="00AF3671" w:rsidRPr="00025ED7" w:rsidRDefault="00AF3671" w:rsidP="00AF3671">
      <w:pPr>
        <w:pStyle w:val="NormalWeb"/>
        <w:shd w:val="clear" w:color="auto" w:fill="FFFFFF"/>
        <w:spacing w:before="0" w:beforeAutospacing="0" w:after="0" w:afterAutospacing="0" w:line="360" w:lineRule="auto"/>
        <w:rPr>
          <w:sz w:val="26"/>
          <w:szCs w:val="26"/>
        </w:rPr>
      </w:pPr>
      <w:r w:rsidRPr="00025ED7">
        <w:rPr>
          <w:sz w:val="26"/>
          <w:szCs w:val="26"/>
        </w:rPr>
        <w:t>– SMB  : Bình quân chênh lệch trong quá khứ giữa lợi nhuận danh mục</w:t>
      </w:r>
    </w:p>
    <w:p w:rsidR="00AF3671" w:rsidRPr="00025ED7" w:rsidRDefault="00AF3671" w:rsidP="00AF3671">
      <w:pPr>
        <w:pStyle w:val="NormalWeb"/>
        <w:shd w:val="clear" w:color="auto" w:fill="FFFFFF"/>
        <w:spacing w:before="0" w:beforeAutospacing="0" w:after="0" w:afterAutospacing="0" w:line="360" w:lineRule="auto"/>
        <w:rPr>
          <w:sz w:val="26"/>
          <w:szCs w:val="26"/>
        </w:rPr>
      </w:pPr>
      <w:r w:rsidRPr="00025ED7">
        <w:rPr>
          <w:sz w:val="26"/>
          <w:szCs w:val="26"/>
        </w:rPr>
        <w:t>cổ phiếu công ty nhỏ so với lợi nhuận danh mục cổ phiếu công ty lớn.</w:t>
      </w:r>
    </w:p>
    <w:p w:rsidR="00AF3671" w:rsidRPr="00025ED7" w:rsidRDefault="00AF3671" w:rsidP="00AF3671">
      <w:pPr>
        <w:pStyle w:val="NormalWeb"/>
        <w:shd w:val="clear" w:color="auto" w:fill="FFFFFF"/>
        <w:spacing w:before="0" w:beforeAutospacing="0" w:after="0" w:afterAutospacing="0" w:line="360" w:lineRule="auto"/>
        <w:rPr>
          <w:sz w:val="26"/>
          <w:szCs w:val="26"/>
        </w:rPr>
      </w:pPr>
      <w:r w:rsidRPr="00025ED7">
        <w:rPr>
          <w:sz w:val="26"/>
          <w:szCs w:val="26"/>
        </w:rPr>
        <w:t>– HML  : Bình quân chênh lệch trong quá khứ giữa lợi nhuận danh mục</w:t>
      </w:r>
    </w:p>
    <w:p w:rsidR="00AF3671" w:rsidRPr="00025ED7" w:rsidRDefault="00AF3671" w:rsidP="00AF3671">
      <w:pPr>
        <w:pStyle w:val="NormalWeb"/>
        <w:shd w:val="clear" w:color="auto" w:fill="FFFFFF"/>
        <w:spacing w:before="0" w:beforeAutospacing="0" w:after="0" w:afterAutospacing="0" w:line="360" w:lineRule="auto"/>
        <w:rPr>
          <w:sz w:val="26"/>
          <w:szCs w:val="26"/>
        </w:rPr>
      </w:pPr>
      <w:r w:rsidRPr="00025ED7">
        <w:rPr>
          <w:sz w:val="26"/>
          <w:szCs w:val="26"/>
        </w:rPr>
        <w:t>cổ phiếu công ty có tỷ số giá trị sổ sách trên giá thị trường cao so với</w:t>
      </w:r>
    </w:p>
    <w:p w:rsidR="00AF3671" w:rsidRPr="00025ED7" w:rsidRDefault="00AF3671" w:rsidP="00AF3671">
      <w:pPr>
        <w:pStyle w:val="NormalWeb"/>
        <w:shd w:val="clear" w:color="auto" w:fill="FFFFFF"/>
        <w:spacing w:before="0" w:beforeAutospacing="0" w:after="0" w:afterAutospacing="0" w:line="360" w:lineRule="auto"/>
        <w:rPr>
          <w:sz w:val="26"/>
          <w:szCs w:val="26"/>
        </w:rPr>
      </w:pPr>
      <w:r w:rsidRPr="00025ED7">
        <w:rPr>
          <w:sz w:val="26"/>
          <w:szCs w:val="26"/>
        </w:rPr>
        <w:t>công ty có giá trị này thấp.</w:t>
      </w:r>
    </w:p>
    <w:p w:rsidR="00AF3671" w:rsidRPr="00025ED7" w:rsidRDefault="00AF3671" w:rsidP="00AF3671">
      <w:pPr>
        <w:pStyle w:val="NormalWeb"/>
        <w:shd w:val="clear" w:color="auto" w:fill="FFFFFF"/>
        <w:spacing w:before="0" w:beforeAutospacing="0" w:after="0" w:afterAutospacing="0" w:line="360" w:lineRule="auto"/>
        <w:rPr>
          <w:sz w:val="26"/>
          <w:szCs w:val="26"/>
        </w:rPr>
      </w:pPr>
      <w:r w:rsidRPr="00025ED7">
        <w:rPr>
          <w:sz w:val="26"/>
          <w:szCs w:val="26"/>
        </w:rPr>
        <w:t>– β</w:t>
      </w:r>
      <w:r w:rsidRPr="00025ED7">
        <w:rPr>
          <w:sz w:val="26"/>
          <w:szCs w:val="26"/>
          <w:bdr w:val="none" w:sz="0" w:space="0" w:color="auto" w:frame="1"/>
          <w:vertAlign w:val="subscript"/>
        </w:rPr>
        <w:t>i</w:t>
      </w:r>
      <w:r w:rsidRPr="00025ED7">
        <w:rPr>
          <w:sz w:val="26"/>
          <w:szCs w:val="26"/>
        </w:rPr>
        <w:t>   : Hệ số hồi qui cho nhân tố thị trường.</w:t>
      </w:r>
    </w:p>
    <w:p w:rsidR="00AF3671" w:rsidRPr="00025ED7" w:rsidRDefault="00AF3671" w:rsidP="00AF3671">
      <w:pPr>
        <w:pStyle w:val="NormalWeb"/>
        <w:shd w:val="clear" w:color="auto" w:fill="FFFFFF"/>
        <w:spacing w:before="0" w:beforeAutospacing="0" w:after="0" w:afterAutospacing="0" w:line="360" w:lineRule="auto"/>
        <w:rPr>
          <w:sz w:val="26"/>
          <w:szCs w:val="26"/>
        </w:rPr>
      </w:pPr>
      <w:r w:rsidRPr="00025ED7">
        <w:rPr>
          <w:sz w:val="26"/>
          <w:szCs w:val="26"/>
        </w:rPr>
        <w:t>– s</w:t>
      </w:r>
      <w:r w:rsidRPr="00025ED7">
        <w:rPr>
          <w:sz w:val="26"/>
          <w:szCs w:val="26"/>
          <w:bdr w:val="none" w:sz="0" w:space="0" w:color="auto" w:frame="1"/>
          <w:vertAlign w:val="subscript"/>
        </w:rPr>
        <w:t>i</w:t>
      </w:r>
      <w:r w:rsidRPr="00025ED7">
        <w:rPr>
          <w:sz w:val="26"/>
          <w:szCs w:val="26"/>
        </w:rPr>
        <w:t>  : Hệ số hồi qui cho nhân tố SMB.</w:t>
      </w:r>
    </w:p>
    <w:p w:rsidR="00AF3671" w:rsidRPr="00025ED7" w:rsidRDefault="00AF3671" w:rsidP="00AF3671">
      <w:pPr>
        <w:pStyle w:val="NormalWeb"/>
        <w:shd w:val="clear" w:color="auto" w:fill="FFFFFF"/>
        <w:spacing w:before="0" w:beforeAutospacing="0" w:after="0" w:afterAutospacing="0" w:line="360" w:lineRule="auto"/>
        <w:rPr>
          <w:sz w:val="26"/>
          <w:szCs w:val="26"/>
        </w:rPr>
      </w:pPr>
      <w:r w:rsidRPr="00025ED7">
        <w:rPr>
          <w:sz w:val="26"/>
          <w:szCs w:val="26"/>
        </w:rPr>
        <w:t>– h</w:t>
      </w:r>
      <w:r w:rsidRPr="00025ED7">
        <w:rPr>
          <w:sz w:val="26"/>
          <w:szCs w:val="26"/>
          <w:bdr w:val="none" w:sz="0" w:space="0" w:color="auto" w:frame="1"/>
          <w:vertAlign w:val="subscript"/>
        </w:rPr>
        <w:t>i</w:t>
      </w:r>
      <w:r w:rsidRPr="00025ED7">
        <w:rPr>
          <w:sz w:val="26"/>
          <w:szCs w:val="26"/>
        </w:rPr>
        <w:t>   : Hệ số hồi qui cho nhân tố HML.</w:t>
      </w:r>
    </w:p>
    <w:p w:rsidR="00AF3671" w:rsidRPr="00025ED7" w:rsidRDefault="00AF3671" w:rsidP="00765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6"/>
          <w:szCs w:val="26"/>
        </w:rPr>
      </w:pPr>
      <w:r w:rsidRPr="00025ED7">
        <w:rPr>
          <w:rFonts w:ascii="Times New Roman" w:eastAsia="Times New Roman" w:hAnsi="Times New Roman" w:cs="Times New Roman"/>
          <w:sz w:val="26"/>
          <w:szCs w:val="26"/>
          <w:lang w:val="vi-VN"/>
        </w:rPr>
        <w:t>Với khả năng giải thích 95% lợi nhuận của danh mục đầu tư so với toàn bộ thị trường, các nhà đầu tư có thể xây dựng một danh mục đầu tư trong đó họ nhận được lợi nhuận kỳ vọng trung bình theo rủi ro tương đối mà họ giả định trong danh mục đầu tư của mình. Các yếu tố chính thúc đẩy lợi nhuận kỳ vọng là độ nhạy cảm với thị trường, độ nhạy cảm với quy mô và độ nhạy cảm với cổ phiếu giá trị, được đo bằng tỷ lệ sổ sách trên thị trường. Bất kỳ lợi tức kỳ vọng trung bình bổ sung nào có thể được quy cho rủi ro không được định giá hoặc không có hệ thống.</w:t>
      </w:r>
    </w:p>
    <w:p w:rsidR="00765CEC" w:rsidRPr="00025ED7" w:rsidRDefault="00765CEC" w:rsidP="00765CEC">
      <w:pPr>
        <w:pStyle w:val="HTMLPreformatted"/>
        <w:spacing w:line="540" w:lineRule="atLeast"/>
        <w:rPr>
          <w:rFonts w:ascii="Times New Roman" w:hAnsi="Times New Roman" w:cs="Times New Roman"/>
          <w:sz w:val="26"/>
          <w:szCs w:val="26"/>
        </w:rPr>
      </w:pPr>
      <w:r w:rsidRPr="00025ED7">
        <w:rPr>
          <w:rFonts w:ascii="Times New Roman" w:hAnsi="Times New Roman" w:cs="Times New Roman"/>
          <w:sz w:val="26"/>
          <w:szCs w:val="26"/>
          <w:lang w:val="vi-VN"/>
        </w:rPr>
        <w:t xml:space="preserve">Cùng với ba yếu tố ban đầu, mô hình mới bổ sung khái niệm rằng các công ty báo cáo thu nhập cao hơn trong tương lai có lợi nhuận cao hơn trên thị trường chứng khoán, một yếu </w:t>
      </w:r>
      <w:r w:rsidRPr="00025ED7">
        <w:rPr>
          <w:rFonts w:ascii="Times New Roman" w:hAnsi="Times New Roman" w:cs="Times New Roman"/>
          <w:sz w:val="26"/>
          <w:szCs w:val="26"/>
          <w:lang w:val="vi-VN"/>
        </w:rPr>
        <w:lastRenderedPageBreak/>
        <w:t xml:space="preserve">tố </w:t>
      </w:r>
      <w:r w:rsidR="00025ED7">
        <w:rPr>
          <w:rFonts w:ascii="Times New Roman" w:hAnsi="Times New Roman" w:cs="Times New Roman"/>
          <w:sz w:val="26"/>
          <w:szCs w:val="26"/>
        </w:rPr>
        <w:t xml:space="preserve">thứ tư </w:t>
      </w:r>
      <w:r w:rsidRPr="00025ED7">
        <w:rPr>
          <w:rFonts w:ascii="Times New Roman" w:hAnsi="Times New Roman" w:cs="Times New Roman"/>
          <w:sz w:val="26"/>
          <w:szCs w:val="26"/>
          <w:lang w:val="vi-VN"/>
        </w:rPr>
        <w:t xml:space="preserve">được gọi là khả năng sinh lời. Yếu tố thứ năm, được gọi là đầu tư, liên quan đến khái niệm đầu tư nội bộ và lợi nhuận, cho thấy rằng các công ty </w:t>
      </w:r>
      <w:r w:rsidR="00025ED7">
        <w:rPr>
          <w:rFonts w:ascii="Times New Roman" w:hAnsi="Times New Roman" w:cs="Times New Roman"/>
          <w:sz w:val="26"/>
          <w:szCs w:val="26"/>
        </w:rPr>
        <w:t xml:space="preserve">đem </w:t>
      </w:r>
      <w:r w:rsidRPr="00025ED7">
        <w:rPr>
          <w:rFonts w:ascii="Times New Roman" w:hAnsi="Times New Roman" w:cs="Times New Roman"/>
          <w:sz w:val="26"/>
          <w:szCs w:val="26"/>
          <w:lang w:val="vi-VN"/>
        </w:rPr>
        <w:t>lợi nhuận vào các dự án tăng trưởng lớn có khả năng bị thua lỗ trên thị trường chứng khoán.</w:t>
      </w:r>
    </w:p>
    <w:p w:rsidR="00AF3671" w:rsidRPr="00025ED7" w:rsidRDefault="00F930A3" w:rsidP="00025ED7">
      <w:pPr>
        <w:spacing w:after="0" w:line="360" w:lineRule="auto"/>
        <w:rPr>
          <w:rFonts w:ascii="Times New Roman" w:eastAsia="Times New Roman" w:hAnsi="Times New Roman" w:cs="Times New Roman"/>
          <w:iCs/>
          <w:sz w:val="26"/>
          <w:szCs w:val="26"/>
        </w:rPr>
      </w:pPr>
      <w:r w:rsidRPr="00025ED7">
        <w:rPr>
          <w:rFonts w:ascii="Times New Roman" w:eastAsia="Times New Roman" w:hAnsi="Times New Roman" w:cs="Times New Roman"/>
          <w:iCs/>
          <w:sz w:val="26"/>
          <w:szCs w:val="26"/>
        </w:rPr>
        <w:t>3.</w:t>
      </w:r>
      <w:r w:rsidR="00152B73" w:rsidRPr="00025ED7">
        <w:rPr>
          <w:rFonts w:ascii="Times New Roman" w:eastAsia="Times New Roman" w:hAnsi="Times New Roman" w:cs="Times New Roman"/>
          <w:iCs/>
          <w:sz w:val="26"/>
          <w:szCs w:val="26"/>
        </w:rPr>
        <w:t>Kết luận</w:t>
      </w:r>
    </w:p>
    <w:p w:rsidR="00152B73" w:rsidRPr="00025ED7" w:rsidRDefault="00152B73" w:rsidP="00025ED7">
      <w:pPr>
        <w:pStyle w:val="HTMLPreformatted"/>
        <w:spacing w:line="360" w:lineRule="auto"/>
        <w:rPr>
          <w:rFonts w:ascii="Times New Roman" w:hAnsi="Times New Roman" w:cs="Times New Roman"/>
          <w:sz w:val="26"/>
          <w:szCs w:val="26"/>
        </w:rPr>
      </w:pPr>
      <w:r w:rsidRPr="00025ED7">
        <w:rPr>
          <w:rFonts w:ascii="Times New Roman" w:hAnsi="Times New Roman" w:cs="Times New Roman"/>
          <w:sz w:val="26"/>
          <w:szCs w:val="26"/>
          <w:lang w:val="vi-VN"/>
        </w:rPr>
        <w:t>Mô hình 3 yếu tố Fama French là một mô hình định giá tài sản mở rộng trên mô hình định giá tài sản vốn bằng cách thêm các yếu tố rủi ro về quy mô và giá trị vào các yếu tố rủi ro thị trường.</w:t>
      </w:r>
      <w:r w:rsidR="00726498" w:rsidRPr="00025ED7">
        <w:rPr>
          <w:rFonts w:ascii="Times New Roman" w:hAnsi="Times New Roman" w:cs="Times New Roman"/>
          <w:sz w:val="26"/>
          <w:szCs w:val="26"/>
        </w:rPr>
        <w:t xml:space="preserve"> </w:t>
      </w:r>
      <w:r w:rsidRPr="00025ED7">
        <w:rPr>
          <w:rFonts w:ascii="Times New Roman" w:hAnsi="Times New Roman" w:cs="Times New Roman"/>
          <w:sz w:val="26"/>
          <w:szCs w:val="26"/>
          <w:lang w:val="vi-VN"/>
        </w:rPr>
        <w:t>Mô hình được phát triển bởi Eugene Fama và đồng nghiệp của ông là Ken</w:t>
      </w:r>
      <w:r w:rsidR="00726498" w:rsidRPr="00025ED7">
        <w:rPr>
          <w:rFonts w:ascii="Times New Roman" w:hAnsi="Times New Roman" w:cs="Times New Roman"/>
          <w:sz w:val="26"/>
          <w:szCs w:val="26"/>
          <w:lang w:val="vi-VN"/>
        </w:rPr>
        <w:t>neth French vào những năm 1990.</w:t>
      </w:r>
      <w:r w:rsidR="00726498" w:rsidRPr="00025ED7">
        <w:rPr>
          <w:rFonts w:ascii="Times New Roman" w:hAnsi="Times New Roman" w:cs="Times New Roman"/>
          <w:sz w:val="26"/>
          <w:szCs w:val="26"/>
        </w:rPr>
        <w:t xml:space="preserve"> </w:t>
      </w:r>
      <w:r w:rsidRPr="00025ED7">
        <w:rPr>
          <w:rFonts w:ascii="Times New Roman" w:hAnsi="Times New Roman" w:cs="Times New Roman"/>
          <w:sz w:val="26"/>
          <w:szCs w:val="26"/>
          <w:lang w:val="vi-VN"/>
        </w:rPr>
        <w:t>Mô hình về cơ bản là kết quả của một hồi quy kinh tế lượng của giá cổ phiếu trong quá khứ.</w:t>
      </w:r>
    </w:p>
    <w:p w:rsidR="00152B73" w:rsidRPr="00025ED7" w:rsidRDefault="00B0320B" w:rsidP="00025ED7">
      <w:pPr>
        <w:pStyle w:val="HTMLPreformatted"/>
        <w:spacing w:line="360" w:lineRule="auto"/>
        <w:rPr>
          <w:rFonts w:ascii="inherit" w:hAnsi="inherit"/>
          <w:b/>
          <w:sz w:val="26"/>
          <w:szCs w:val="26"/>
        </w:rPr>
      </w:pPr>
      <w:r w:rsidRPr="00025ED7">
        <w:rPr>
          <w:rFonts w:ascii="inherit" w:hAnsi="inherit"/>
          <w:b/>
          <w:sz w:val="26"/>
          <w:szCs w:val="26"/>
        </w:rPr>
        <w:t>Tài liệu tham khảo:</w:t>
      </w:r>
    </w:p>
    <w:p w:rsidR="00AF3671" w:rsidRPr="00025ED7" w:rsidRDefault="00B0320B" w:rsidP="00025ED7">
      <w:pPr>
        <w:spacing w:after="0" w:line="360" w:lineRule="auto"/>
        <w:rPr>
          <w:rFonts w:ascii="Times New Roman" w:hAnsi="Times New Roman" w:cs="Times New Roman"/>
          <w:sz w:val="26"/>
          <w:szCs w:val="26"/>
        </w:rPr>
      </w:pPr>
      <w:r w:rsidRPr="00025ED7">
        <w:rPr>
          <w:rFonts w:ascii="Times New Roman" w:hAnsi="Times New Roman" w:cs="Times New Roman"/>
          <w:sz w:val="26"/>
          <w:szCs w:val="26"/>
        </w:rPr>
        <w:t>1.</w:t>
      </w:r>
      <w:hyperlink r:id="rId6" w:history="1">
        <w:r w:rsidR="0000611B" w:rsidRPr="00025ED7">
          <w:rPr>
            <w:rStyle w:val="Hyperlink"/>
            <w:rFonts w:ascii="Times New Roman" w:hAnsi="Times New Roman" w:cs="Times New Roman"/>
            <w:color w:val="auto"/>
            <w:sz w:val="26"/>
            <w:szCs w:val="26"/>
            <w:u w:val="none"/>
          </w:rPr>
          <w:t>http://nghiencuudinhluong.com/mo-hinh-capm-va-fama-french/</w:t>
        </w:r>
      </w:hyperlink>
      <w:r w:rsidR="007E6C7B" w:rsidRPr="00025ED7">
        <w:rPr>
          <w:rFonts w:ascii="Times New Roman" w:hAnsi="Times New Roman" w:cs="Times New Roman"/>
          <w:sz w:val="26"/>
          <w:szCs w:val="26"/>
        </w:rPr>
        <w:t>, truy cập ngày 18 tháng 9 năm 2020.</w:t>
      </w:r>
    </w:p>
    <w:p w:rsidR="0000611B" w:rsidRPr="00025ED7" w:rsidRDefault="00B0320B" w:rsidP="00025ED7">
      <w:pPr>
        <w:pStyle w:val="Heading1"/>
        <w:shd w:val="clear" w:color="auto" w:fill="FFFFFF"/>
        <w:spacing w:before="0" w:beforeAutospacing="0" w:after="0" w:afterAutospacing="0" w:line="360" w:lineRule="auto"/>
        <w:rPr>
          <w:b w:val="0"/>
          <w:bCs w:val="0"/>
          <w:sz w:val="26"/>
          <w:szCs w:val="26"/>
        </w:rPr>
      </w:pPr>
      <w:r w:rsidRPr="00025ED7">
        <w:rPr>
          <w:b w:val="0"/>
          <w:sz w:val="26"/>
          <w:szCs w:val="26"/>
        </w:rPr>
        <w:t>2.</w:t>
      </w:r>
      <w:r w:rsidR="0000611B" w:rsidRPr="00025ED7">
        <w:rPr>
          <w:b w:val="0"/>
          <w:sz w:val="26"/>
          <w:szCs w:val="26"/>
        </w:rPr>
        <w:t>Adam Hayes</w:t>
      </w:r>
      <w:r w:rsidR="00025ED7">
        <w:rPr>
          <w:b w:val="0"/>
          <w:sz w:val="26"/>
          <w:szCs w:val="26"/>
        </w:rPr>
        <w:t>(2020)</w:t>
      </w:r>
      <w:r w:rsidR="0000611B" w:rsidRPr="00025ED7">
        <w:rPr>
          <w:b w:val="0"/>
          <w:sz w:val="26"/>
          <w:szCs w:val="26"/>
        </w:rPr>
        <w:t xml:space="preserve">, </w:t>
      </w:r>
      <w:r w:rsidR="003A2899" w:rsidRPr="00025ED7">
        <w:rPr>
          <w:b w:val="0"/>
          <w:bCs w:val="0"/>
          <w:sz w:val="26"/>
          <w:szCs w:val="26"/>
        </w:rPr>
        <w:t xml:space="preserve">Fama and French Three Factor Model, </w:t>
      </w:r>
      <w:r w:rsidR="0000611B" w:rsidRPr="00025ED7">
        <w:rPr>
          <w:b w:val="0"/>
          <w:sz w:val="26"/>
          <w:szCs w:val="26"/>
          <w:shd w:val="clear" w:color="auto" w:fill="FFFFFF"/>
        </w:rPr>
        <w:t>University of Wisconsin-Madison</w:t>
      </w:r>
    </w:p>
    <w:p w:rsidR="0000611B" w:rsidRPr="00025ED7" w:rsidRDefault="00B0320B" w:rsidP="00025ED7">
      <w:pPr>
        <w:shd w:val="clear" w:color="auto" w:fill="FFFFFF"/>
        <w:spacing w:after="0" w:line="360" w:lineRule="auto"/>
        <w:outlineLvl w:val="0"/>
        <w:rPr>
          <w:rFonts w:ascii="Arial" w:eastAsia="Times New Roman" w:hAnsi="Arial" w:cs="Arial"/>
          <w:kern w:val="36"/>
          <w:sz w:val="26"/>
          <w:szCs w:val="26"/>
        </w:rPr>
      </w:pPr>
      <w:r w:rsidRPr="00025ED7">
        <w:rPr>
          <w:rFonts w:ascii="Times New Roman" w:eastAsia="Times New Roman" w:hAnsi="Times New Roman" w:cs="Times New Roman"/>
          <w:kern w:val="36"/>
          <w:sz w:val="26"/>
          <w:szCs w:val="26"/>
        </w:rPr>
        <w:t>3.</w:t>
      </w:r>
      <w:r w:rsidR="0000611B" w:rsidRPr="00025ED7">
        <w:rPr>
          <w:rFonts w:ascii="Times New Roman" w:eastAsia="Times New Roman" w:hAnsi="Times New Roman" w:cs="Times New Roman"/>
          <w:kern w:val="36"/>
          <w:sz w:val="26"/>
          <w:szCs w:val="26"/>
        </w:rPr>
        <w:t>https://vietnambiz.vn/mo-hinh-ba-yeu-to-fama-va-french-fama-and-french-three-factor-model-la-gi-dac-di</w:t>
      </w:r>
      <w:r w:rsidR="00620718" w:rsidRPr="00025ED7">
        <w:rPr>
          <w:rFonts w:ascii="Times New Roman" w:eastAsia="Times New Roman" w:hAnsi="Times New Roman" w:cs="Times New Roman"/>
          <w:kern w:val="36"/>
          <w:sz w:val="26"/>
          <w:szCs w:val="26"/>
        </w:rPr>
        <w:t xml:space="preserve">em </w:t>
      </w:r>
      <w:r w:rsidR="00025ED7">
        <w:rPr>
          <w:rFonts w:ascii="Times New Roman" w:eastAsia="Times New Roman" w:hAnsi="Times New Roman" w:cs="Times New Roman"/>
          <w:kern w:val="36"/>
          <w:sz w:val="26"/>
          <w:szCs w:val="26"/>
        </w:rPr>
        <w:t xml:space="preserve">, </w:t>
      </w:r>
      <w:r w:rsidR="00620718" w:rsidRPr="00025ED7">
        <w:rPr>
          <w:rFonts w:ascii="Times New Roman" w:eastAsia="Times New Roman" w:hAnsi="Times New Roman" w:cs="Times New Roman"/>
          <w:kern w:val="36"/>
          <w:sz w:val="26"/>
          <w:szCs w:val="26"/>
        </w:rPr>
        <w:t>truy cập ngày 18 tháng 9 năm 2020.</w:t>
      </w:r>
    </w:p>
    <w:p w:rsidR="0000611B" w:rsidRPr="00025ED7" w:rsidRDefault="0000611B" w:rsidP="00025ED7">
      <w:pPr>
        <w:spacing w:after="0" w:line="360" w:lineRule="auto"/>
        <w:rPr>
          <w:rFonts w:ascii="Times New Roman" w:hAnsi="Times New Roman" w:cs="Times New Roman"/>
          <w:sz w:val="26"/>
          <w:szCs w:val="26"/>
        </w:rPr>
      </w:pPr>
    </w:p>
    <w:sectPr w:rsidR="0000611B" w:rsidRPr="00025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67115"/>
    <w:multiLevelType w:val="hybridMultilevel"/>
    <w:tmpl w:val="A5926BBC"/>
    <w:lvl w:ilvl="0" w:tplc="C2C69F9C">
      <w:start w:val="1"/>
      <w:numFmt w:val="decimal"/>
      <w:lvlText w:val="%1."/>
      <w:lvlJc w:val="left"/>
      <w:pPr>
        <w:ind w:left="720" w:hanging="360"/>
      </w:pPr>
      <w:rPr>
        <w:rFonts w:eastAsia="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CE1"/>
    <w:rsid w:val="0000611B"/>
    <w:rsid w:val="00025ED7"/>
    <w:rsid w:val="00067CE1"/>
    <w:rsid w:val="00152B73"/>
    <w:rsid w:val="0018332B"/>
    <w:rsid w:val="002A65BF"/>
    <w:rsid w:val="003A2899"/>
    <w:rsid w:val="004D05D9"/>
    <w:rsid w:val="00620718"/>
    <w:rsid w:val="00726498"/>
    <w:rsid w:val="00764B5F"/>
    <w:rsid w:val="00765CEC"/>
    <w:rsid w:val="007D6BFA"/>
    <w:rsid w:val="007E6C7B"/>
    <w:rsid w:val="00A249D3"/>
    <w:rsid w:val="00AF3671"/>
    <w:rsid w:val="00B0320B"/>
    <w:rsid w:val="00D4320F"/>
    <w:rsid w:val="00DA4AF5"/>
    <w:rsid w:val="00F930A3"/>
  </w:rsids>
  <m:mathPr>
    <m:mathFont m:val="Cambria Math"/>
    <m:brkBin m:val="before"/>
    <m:brkBinSub m:val="--"/>
    <m:smallFrac m:val="0"/>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61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8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8332B"/>
    <w:rPr>
      <w:rFonts w:ascii="Courier New" w:eastAsia="Times New Roman" w:hAnsi="Courier New" w:cs="Courier New"/>
      <w:sz w:val="20"/>
      <w:szCs w:val="20"/>
    </w:rPr>
  </w:style>
  <w:style w:type="paragraph" w:styleId="ListParagraph">
    <w:name w:val="List Paragraph"/>
    <w:basedOn w:val="Normal"/>
    <w:uiPriority w:val="34"/>
    <w:qFormat/>
    <w:rsid w:val="00DA4AF5"/>
    <w:pPr>
      <w:ind w:left="720"/>
      <w:contextualSpacing/>
    </w:pPr>
  </w:style>
  <w:style w:type="paragraph" w:styleId="BalloonText">
    <w:name w:val="Balloon Text"/>
    <w:basedOn w:val="Normal"/>
    <w:link w:val="BalloonTextChar"/>
    <w:uiPriority w:val="99"/>
    <w:semiHidden/>
    <w:unhideWhenUsed/>
    <w:rsid w:val="00AF3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671"/>
    <w:rPr>
      <w:rFonts w:ascii="Tahoma" w:hAnsi="Tahoma" w:cs="Tahoma"/>
      <w:sz w:val="16"/>
      <w:szCs w:val="16"/>
    </w:rPr>
  </w:style>
  <w:style w:type="paragraph" w:styleId="NormalWeb">
    <w:name w:val="Normal (Web)"/>
    <w:basedOn w:val="Normal"/>
    <w:uiPriority w:val="99"/>
    <w:semiHidden/>
    <w:unhideWhenUsed/>
    <w:rsid w:val="00AF36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611B"/>
    <w:rPr>
      <w:color w:val="0000FF" w:themeColor="hyperlink"/>
      <w:u w:val="single"/>
    </w:rPr>
  </w:style>
  <w:style w:type="character" w:customStyle="1" w:styleId="Heading1Char">
    <w:name w:val="Heading 1 Char"/>
    <w:basedOn w:val="DefaultParagraphFont"/>
    <w:link w:val="Heading1"/>
    <w:uiPriority w:val="9"/>
    <w:rsid w:val="0000611B"/>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61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8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8332B"/>
    <w:rPr>
      <w:rFonts w:ascii="Courier New" w:eastAsia="Times New Roman" w:hAnsi="Courier New" w:cs="Courier New"/>
      <w:sz w:val="20"/>
      <w:szCs w:val="20"/>
    </w:rPr>
  </w:style>
  <w:style w:type="paragraph" w:styleId="ListParagraph">
    <w:name w:val="List Paragraph"/>
    <w:basedOn w:val="Normal"/>
    <w:uiPriority w:val="34"/>
    <w:qFormat/>
    <w:rsid w:val="00DA4AF5"/>
    <w:pPr>
      <w:ind w:left="720"/>
      <w:contextualSpacing/>
    </w:pPr>
  </w:style>
  <w:style w:type="paragraph" w:styleId="BalloonText">
    <w:name w:val="Balloon Text"/>
    <w:basedOn w:val="Normal"/>
    <w:link w:val="BalloonTextChar"/>
    <w:uiPriority w:val="99"/>
    <w:semiHidden/>
    <w:unhideWhenUsed/>
    <w:rsid w:val="00AF3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671"/>
    <w:rPr>
      <w:rFonts w:ascii="Tahoma" w:hAnsi="Tahoma" w:cs="Tahoma"/>
      <w:sz w:val="16"/>
      <w:szCs w:val="16"/>
    </w:rPr>
  </w:style>
  <w:style w:type="paragraph" w:styleId="NormalWeb">
    <w:name w:val="Normal (Web)"/>
    <w:basedOn w:val="Normal"/>
    <w:uiPriority w:val="99"/>
    <w:semiHidden/>
    <w:unhideWhenUsed/>
    <w:rsid w:val="00AF36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611B"/>
    <w:rPr>
      <w:color w:val="0000FF" w:themeColor="hyperlink"/>
      <w:u w:val="single"/>
    </w:rPr>
  </w:style>
  <w:style w:type="character" w:customStyle="1" w:styleId="Heading1Char">
    <w:name w:val="Heading 1 Char"/>
    <w:basedOn w:val="DefaultParagraphFont"/>
    <w:link w:val="Heading1"/>
    <w:uiPriority w:val="9"/>
    <w:rsid w:val="0000611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418062">
      <w:bodyDiv w:val="1"/>
      <w:marLeft w:val="0"/>
      <w:marRight w:val="0"/>
      <w:marTop w:val="0"/>
      <w:marBottom w:val="0"/>
      <w:divBdr>
        <w:top w:val="none" w:sz="0" w:space="0" w:color="auto"/>
        <w:left w:val="none" w:sz="0" w:space="0" w:color="auto"/>
        <w:bottom w:val="none" w:sz="0" w:space="0" w:color="auto"/>
        <w:right w:val="none" w:sz="0" w:space="0" w:color="auto"/>
      </w:divBdr>
    </w:div>
    <w:div w:id="686517421">
      <w:bodyDiv w:val="1"/>
      <w:marLeft w:val="0"/>
      <w:marRight w:val="0"/>
      <w:marTop w:val="0"/>
      <w:marBottom w:val="0"/>
      <w:divBdr>
        <w:top w:val="none" w:sz="0" w:space="0" w:color="auto"/>
        <w:left w:val="none" w:sz="0" w:space="0" w:color="auto"/>
        <w:bottom w:val="none" w:sz="0" w:space="0" w:color="auto"/>
        <w:right w:val="none" w:sz="0" w:space="0" w:color="auto"/>
      </w:divBdr>
    </w:div>
    <w:div w:id="735708635">
      <w:bodyDiv w:val="1"/>
      <w:marLeft w:val="0"/>
      <w:marRight w:val="0"/>
      <w:marTop w:val="0"/>
      <w:marBottom w:val="0"/>
      <w:divBdr>
        <w:top w:val="none" w:sz="0" w:space="0" w:color="auto"/>
        <w:left w:val="none" w:sz="0" w:space="0" w:color="auto"/>
        <w:bottom w:val="none" w:sz="0" w:space="0" w:color="auto"/>
        <w:right w:val="none" w:sz="0" w:space="0" w:color="auto"/>
      </w:divBdr>
      <w:divsChild>
        <w:div w:id="2046900806">
          <w:marLeft w:val="0"/>
          <w:marRight w:val="0"/>
          <w:marTop w:val="0"/>
          <w:marBottom w:val="0"/>
          <w:divBdr>
            <w:top w:val="none" w:sz="0" w:space="0" w:color="auto"/>
            <w:left w:val="none" w:sz="0" w:space="0" w:color="auto"/>
            <w:bottom w:val="none" w:sz="0" w:space="0" w:color="auto"/>
            <w:right w:val="none" w:sz="0" w:space="0" w:color="auto"/>
          </w:divBdr>
          <w:divsChild>
            <w:div w:id="199175237">
              <w:marLeft w:val="0"/>
              <w:marRight w:val="0"/>
              <w:marTop w:val="0"/>
              <w:marBottom w:val="0"/>
              <w:divBdr>
                <w:top w:val="none" w:sz="0" w:space="0" w:color="auto"/>
                <w:left w:val="none" w:sz="0" w:space="0" w:color="auto"/>
                <w:bottom w:val="none" w:sz="0" w:space="0" w:color="auto"/>
                <w:right w:val="none" w:sz="0" w:space="0" w:color="auto"/>
              </w:divBdr>
              <w:divsChild>
                <w:div w:id="181551352">
                  <w:marLeft w:val="-240"/>
                  <w:marRight w:val="-240"/>
                  <w:marTop w:val="0"/>
                  <w:marBottom w:val="0"/>
                  <w:divBdr>
                    <w:top w:val="none" w:sz="0" w:space="0" w:color="auto"/>
                    <w:left w:val="none" w:sz="0" w:space="0" w:color="auto"/>
                    <w:bottom w:val="none" w:sz="0" w:space="0" w:color="auto"/>
                    <w:right w:val="none" w:sz="0" w:space="0" w:color="auto"/>
                  </w:divBdr>
                  <w:divsChild>
                    <w:div w:id="314797694">
                      <w:marLeft w:val="0"/>
                      <w:marRight w:val="0"/>
                      <w:marTop w:val="0"/>
                      <w:marBottom w:val="0"/>
                      <w:divBdr>
                        <w:top w:val="none" w:sz="0" w:space="0" w:color="auto"/>
                        <w:left w:val="none" w:sz="0" w:space="0" w:color="auto"/>
                        <w:bottom w:val="none" w:sz="0" w:space="0" w:color="auto"/>
                        <w:right w:val="none" w:sz="0" w:space="0" w:color="auto"/>
                      </w:divBdr>
                      <w:divsChild>
                        <w:div w:id="1587152259">
                          <w:marLeft w:val="0"/>
                          <w:marRight w:val="0"/>
                          <w:marTop w:val="0"/>
                          <w:marBottom w:val="0"/>
                          <w:divBdr>
                            <w:top w:val="none" w:sz="0" w:space="0" w:color="auto"/>
                            <w:left w:val="none" w:sz="0" w:space="0" w:color="auto"/>
                            <w:bottom w:val="none" w:sz="0" w:space="0" w:color="auto"/>
                            <w:right w:val="none" w:sz="0" w:space="0" w:color="auto"/>
                          </w:divBdr>
                        </w:div>
                        <w:div w:id="1110508928">
                          <w:marLeft w:val="0"/>
                          <w:marRight w:val="0"/>
                          <w:marTop w:val="0"/>
                          <w:marBottom w:val="0"/>
                          <w:divBdr>
                            <w:top w:val="none" w:sz="0" w:space="0" w:color="auto"/>
                            <w:left w:val="none" w:sz="0" w:space="0" w:color="auto"/>
                            <w:bottom w:val="none" w:sz="0" w:space="0" w:color="auto"/>
                            <w:right w:val="none" w:sz="0" w:space="0" w:color="auto"/>
                          </w:divBdr>
                          <w:divsChild>
                            <w:div w:id="175274438">
                              <w:marLeft w:val="165"/>
                              <w:marRight w:val="165"/>
                              <w:marTop w:val="0"/>
                              <w:marBottom w:val="0"/>
                              <w:divBdr>
                                <w:top w:val="none" w:sz="0" w:space="0" w:color="auto"/>
                                <w:left w:val="none" w:sz="0" w:space="0" w:color="auto"/>
                                <w:bottom w:val="none" w:sz="0" w:space="0" w:color="auto"/>
                                <w:right w:val="none" w:sz="0" w:space="0" w:color="auto"/>
                              </w:divBdr>
                              <w:divsChild>
                                <w:div w:id="507913045">
                                  <w:marLeft w:val="0"/>
                                  <w:marRight w:val="0"/>
                                  <w:marTop w:val="0"/>
                                  <w:marBottom w:val="0"/>
                                  <w:divBdr>
                                    <w:top w:val="none" w:sz="0" w:space="0" w:color="auto"/>
                                    <w:left w:val="none" w:sz="0" w:space="0" w:color="auto"/>
                                    <w:bottom w:val="none" w:sz="0" w:space="0" w:color="auto"/>
                                    <w:right w:val="none" w:sz="0" w:space="0" w:color="auto"/>
                                  </w:divBdr>
                                  <w:divsChild>
                                    <w:div w:id="1618217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936163">
      <w:bodyDiv w:val="1"/>
      <w:marLeft w:val="0"/>
      <w:marRight w:val="0"/>
      <w:marTop w:val="0"/>
      <w:marBottom w:val="0"/>
      <w:divBdr>
        <w:top w:val="none" w:sz="0" w:space="0" w:color="auto"/>
        <w:left w:val="none" w:sz="0" w:space="0" w:color="auto"/>
        <w:bottom w:val="none" w:sz="0" w:space="0" w:color="auto"/>
        <w:right w:val="none" w:sz="0" w:space="0" w:color="auto"/>
      </w:divBdr>
    </w:div>
    <w:div w:id="1482577890">
      <w:bodyDiv w:val="1"/>
      <w:marLeft w:val="0"/>
      <w:marRight w:val="0"/>
      <w:marTop w:val="0"/>
      <w:marBottom w:val="0"/>
      <w:divBdr>
        <w:top w:val="none" w:sz="0" w:space="0" w:color="auto"/>
        <w:left w:val="none" w:sz="0" w:space="0" w:color="auto"/>
        <w:bottom w:val="none" w:sz="0" w:space="0" w:color="auto"/>
        <w:right w:val="none" w:sz="0" w:space="0" w:color="auto"/>
      </w:divBdr>
    </w:div>
    <w:div w:id="1666009198">
      <w:bodyDiv w:val="1"/>
      <w:marLeft w:val="0"/>
      <w:marRight w:val="0"/>
      <w:marTop w:val="0"/>
      <w:marBottom w:val="0"/>
      <w:divBdr>
        <w:top w:val="none" w:sz="0" w:space="0" w:color="auto"/>
        <w:left w:val="none" w:sz="0" w:space="0" w:color="auto"/>
        <w:bottom w:val="none" w:sz="0" w:space="0" w:color="auto"/>
        <w:right w:val="none" w:sz="0" w:space="0" w:color="auto"/>
      </w:divBdr>
    </w:div>
    <w:div w:id="2003854374">
      <w:bodyDiv w:val="1"/>
      <w:marLeft w:val="0"/>
      <w:marRight w:val="0"/>
      <w:marTop w:val="0"/>
      <w:marBottom w:val="0"/>
      <w:divBdr>
        <w:top w:val="none" w:sz="0" w:space="0" w:color="auto"/>
        <w:left w:val="none" w:sz="0" w:space="0" w:color="auto"/>
        <w:bottom w:val="none" w:sz="0" w:space="0" w:color="auto"/>
        <w:right w:val="none" w:sz="0" w:space="0" w:color="auto"/>
      </w:divBdr>
    </w:div>
    <w:div w:id="2035574066">
      <w:bodyDiv w:val="1"/>
      <w:marLeft w:val="0"/>
      <w:marRight w:val="0"/>
      <w:marTop w:val="0"/>
      <w:marBottom w:val="0"/>
      <w:divBdr>
        <w:top w:val="none" w:sz="0" w:space="0" w:color="auto"/>
        <w:left w:val="none" w:sz="0" w:space="0" w:color="auto"/>
        <w:bottom w:val="none" w:sz="0" w:space="0" w:color="auto"/>
        <w:right w:val="none" w:sz="0" w:space="0" w:color="auto"/>
      </w:divBdr>
    </w:div>
    <w:div w:id="203981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ghiencuudinhluong.com/mo-hinh-capm-va-fama-fren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2020-09-18T08:06:00Z</dcterms:created>
  <dcterms:modified xsi:type="dcterms:W3CDTF">2020-09-18T15:42:00Z</dcterms:modified>
</cp:coreProperties>
</file>