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AF56" w14:textId="77777777" w:rsidR="00BD28A5" w:rsidRDefault="00BD28A5" w:rsidP="00BD28A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</w:pPr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Quy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mới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về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8"/>
          <w:szCs w:val="38"/>
          <w14:ligatures w14:val="none"/>
        </w:rPr>
        <w:t>lẻ</w:t>
      </w:r>
      <w:proofErr w:type="spellEnd"/>
    </w:p>
    <w:p w14:paraId="31460390" w14:textId="77777777" w:rsidR="00BD28A5" w:rsidRDefault="00BD28A5" w:rsidP="00BD28A5">
      <w:pPr>
        <w:shd w:val="clear" w:color="auto" w:fill="FFFFFF"/>
        <w:spacing w:after="0" w:line="240" w:lineRule="auto"/>
        <w:ind w:left="4320" w:firstLine="720"/>
        <w:jc w:val="center"/>
        <w:outlineLvl w:val="2"/>
        <w:rPr>
          <w:rFonts w:ascii="Times New Roman" w:eastAsia="Times New Roman" w:hAnsi="Times New Roman" w:cs="Times New Roman"/>
          <w:color w:val="333333"/>
          <w:kern w:val="0"/>
          <w:sz w:val="34"/>
          <w:szCs w:val="34"/>
          <w:lang w:val="vi-VN"/>
          <w14:ligatures w14:val="none"/>
        </w:rPr>
      </w:pPr>
    </w:p>
    <w:p w14:paraId="097708C0" w14:textId="7D293793" w:rsidR="00BD28A5" w:rsidRDefault="00BD28A5" w:rsidP="00BD28A5">
      <w:pPr>
        <w:shd w:val="clear" w:color="auto" w:fill="FFFFFF"/>
        <w:spacing w:after="0" w:line="240" w:lineRule="auto"/>
        <w:ind w:left="4320" w:firstLine="720"/>
        <w:jc w:val="center"/>
        <w:outlineLvl w:val="2"/>
        <w:rPr>
          <w:rFonts w:ascii="Times New Roman" w:eastAsia="Times New Roman" w:hAnsi="Times New Roman" w:cs="Times New Roman"/>
          <w:color w:val="333333"/>
          <w:kern w:val="0"/>
          <w:sz w:val="34"/>
          <w:szCs w:val="34"/>
          <w:lang w:val="vi-VN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34"/>
          <w:szCs w:val="34"/>
          <w:lang w:val="vi-VN"/>
          <w14:ligatures w14:val="none"/>
        </w:rPr>
        <w:t>Ngô Thị Kiều Trang</w:t>
      </w:r>
    </w:p>
    <w:p w14:paraId="20BD39EF" w14:textId="77777777" w:rsidR="0039670A" w:rsidRPr="00BD28A5" w:rsidRDefault="0039670A" w:rsidP="00BD28A5">
      <w:pPr>
        <w:shd w:val="clear" w:color="auto" w:fill="FFFFFF"/>
        <w:spacing w:after="0" w:line="240" w:lineRule="auto"/>
        <w:ind w:left="4320" w:firstLine="720"/>
        <w:jc w:val="center"/>
        <w:outlineLvl w:val="2"/>
        <w:rPr>
          <w:rFonts w:ascii="Times New Roman" w:eastAsia="Times New Roman" w:hAnsi="Times New Roman" w:cs="Times New Roman"/>
          <w:color w:val="333333"/>
          <w:kern w:val="0"/>
          <w:sz w:val="34"/>
          <w:szCs w:val="34"/>
          <w:lang w:val="vi-VN"/>
          <w14:ligatures w14:val="none"/>
        </w:rPr>
      </w:pPr>
    </w:p>
    <w:p w14:paraId="0B7E4645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Thông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tư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 30/2023/TT-BTC 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hướng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dẫn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việc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đăng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ký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lưu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ký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thực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toán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giao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dịch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tổ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chức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thị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giao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dịch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chào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thị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nước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có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lực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từ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ngày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01/7/2023.</w:t>
      </w:r>
    </w:p>
    <w:p w14:paraId="065A783F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Theo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đó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Tổng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công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ty Lưu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ký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Bù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trừ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khoán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Việt Nam (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viết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tắt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VSDC)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thực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đối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với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hợp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điểm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a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khoản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4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15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Nghị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 153/2020/NĐ-CP 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sửa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đổi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khoản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12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Nghị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 65/2022/NĐ-CP 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đây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:</w:t>
      </w:r>
    </w:p>
    <w:p w14:paraId="57C3BEAF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VSDC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thực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đã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đăng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ký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VSDC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không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thực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qua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hệ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thống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giao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dịch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đối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với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hợp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:</w:t>
      </w:r>
    </w:p>
    <w:p w14:paraId="0B772974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Tặng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thừa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kế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Bộ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luật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Dân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sự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757DED80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Chia,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tách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hợp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nhất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sáp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nhập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;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tổ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chức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vị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sự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công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lập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;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giải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thể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giải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thể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hộ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kinh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Luật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Doanh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khác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có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liên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quan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7B0D47B3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bản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quyết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tòa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quyết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trọng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tài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hoặc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quyết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cơ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quan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hành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47849623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do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xử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lý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tài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bảo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đảm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đã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đăng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ký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Tổng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công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ty Lưu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ký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Bù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trừ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khoán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Việt Nam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thực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phong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tỏa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điểm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c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khoản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23 Thông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tư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119/2020/TT-BTC;</w:t>
      </w:r>
    </w:p>
    <w:p w14:paraId="44809D26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lastRenderedPageBreak/>
        <w:t xml:space="preserve">-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do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phân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chia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tài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vợ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chồng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thời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kỳ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hôn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nhân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Luật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Hôn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nhân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đình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;</w:t>
      </w:r>
    </w:p>
    <w:p w14:paraId="15198BE1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thực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chia,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tách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hợp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nhất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sáp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nhập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giải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thể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quỹ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đầu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tư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khoán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;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thành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lập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tăng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vốn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lệ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công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ty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đầu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tư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chứng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khoán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;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tăng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giảm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vốn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lệ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quỹ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thành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viên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;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quỹ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trả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bằng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hoạt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động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mua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bán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quỹ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;</w:t>
      </w:r>
    </w:p>
    <w:p w14:paraId="1017FEBF" w14:textId="77777777" w:rsid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Chuyển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quyền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sở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hữu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phiếu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riêng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lẻ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phát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sinh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doanh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nghiệp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phát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hành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thực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hiện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theo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tại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 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Điều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1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Nghị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</w:t>
      </w:r>
      <w:proofErr w:type="spellEnd"/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08/2023/NĐ-CP.</w:t>
      </w:r>
    </w:p>
    <w:p w14:paraId="5673E2BD" w14:textId="77777777" w:rsid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</w:p>
    <w:p w14:paraId="26B1FD4A" w14:textId="77777777" w:rsidR="00BD28A5" w:rsidRPr="00BD28A5" w:rsidRDefault="00BD28A5" w:rsidP="00BD28A5">
      <w:pPr>
        <w:shd w:val="clear" w:color="auto" w:fill="FFFFFF"/>
        <w:spacing w:before="203" w:after="203" w:line="45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</w:p>
    <w:p w14:paraId="47CDF597" w14:textId="49EFE0D2" w:rsidR="00BD28A5" w:rsidRPr="00BD28A5" w:rsidRDefault="00BD28A5" w:rsidP="00BD28A5">
      <w:pPr>
        <w:shd w:val="clear" w:color="auto" w:fill="FFFFFF"/>
        <w:spacing w:before="203" w:after="203" w:line="45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30"/>
          <w:szCs w:val="30"/>
          <w:lang w:val="vi-VN"/>
          <w14:ligatures w14:val="none"/>
        </w:rPr>
      </w:pPr>
      <w:r w:rsidRPr="00BD28A5">
        <w:rPr>
          <w:rFonts w:ascii="Times New Roman" w:eastAsia="Times New Roman" w:hAnsi="Times New Roman" w:cs="Times New Roman"/>
          <w:b/>
          <w:bCs/>
          <w:color w:val="333333"/>
          <w:kern w:val="0"/>
          <w:sz w:val="30"/>
          <w:szCs w:val="30"/>
          <w:lang w:val="vi-VN"/>
          <w14:ligatures w14:val="none"/>
        </w:rPr>
        <w:t>TÀI LIỆU THAM KHẢO</w:t>
      </w:r>
    </w:p>
    <w:p w14:paraId="79EC6319" w14:textId="795B8A1A" w:rsidR="00BD28A5" w:rsidRPr="00BD28A5" w:rsidRDefault="00BD28A5" w:rsidP="00BD28A5">
      <w:pPr>
        <w:shd w:val="clear" w:color="auto" w:fill="FFFFFF"/>
        <w:spacing w:before="203" w:after="203" w:line="450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BD28A5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https://baochinhphu.vn/chinh-sach-moi-co-hieu-luc-tu-thang-7-2023-102230701081045384.htm</w:t>
      </w:r>
    </w:p>
    <w:p w14:paraId="59889A68" w14:textId="77777777" w:rsidR="00135046" w:rsidRPr="00BD28A5" w:rsidRDefault="00135046" w:rsidP="00BD28A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35046" w:rsidRPr="00BD28A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6799" w14:textId="77777777" w:rsidR="009A64F8" w:rsidRDefault="009A64F8" w:rsidP="0039670A">
      <w:pPr>
        <w:spacing w:after="0" w:line="240" w:lineRule="auto"/>
      </w:pPr>
      <w:r>
        <w:separator/>
      </w:r>
    </w:p>
  </w:endnote>
  <w:endnote w:type="continuationSeparator" w:id="0">
    <w:p w14:paraId="5493D2E8" w14:textId="77777777" w:rsidR="009A64F8" w:rsidRDefault="009A64F8" w:rsidP="0039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214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657CF5" w14:textId="59EE65F8" w:rsidR="0039670A" w:rsidRDefault="003967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A63F8" w14:textId="77777777" w:rsidR="0039670A" w:rsidRDefault="00396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0DD7" w14:textId="77777777" w:rsidR="009A64F8" w:rsidRDefault="009A64F8" w:rsidP="0039670A">
      <w:pPr>
        <w:spacing w:after="0" w:line="240" w:lineRule="auto"/>
      </w:pPr>
      <w:r>
        <w:separator/>
      </w:r>
    </w:p>
  </w:footnote>
  <w:footnote w:type="continuationSeparator" w:id="0">
    <w:p w14:paraId="0212343A" w14:textId="77777777" w:rsidR="009A64F8" w:rsidRDefault="009A64F8" w:rsidP="003967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A5"/>
    <w:rsid w:val="00135046"/>
    <w:rsid w:val="0039670A"/>
    <w:rsid w:val="009A64F8"/>
    <w:rsid w:val="00BD28A5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BA22D"/>
  <w15:chartTrackingRefBased/>
  <w15:docId w15:val="{B4D723FA-34DC-49F2-B737-07107902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D28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28A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96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0A"/>
  </w:style>
  <w:style w:type="paragraph" w:styleId="Footer">
    <w:name w:val="footer"/>
    <w:basedOn w:val="Normal"/>
    <w:link w:val="FooterChar"/>
    <w:uiPriority w:val="99"/>
    <w:unhideWhenUsed/>
    <w:rsid w:val="00396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2023-11-13T13:41:00Z</dcterms:created>
  <dcterms:modified xsi:type="dcterms:W3CDTF">2023-11-13T13:45:00Z</dcterms:modified>
</cp:coreProperties>
</file>