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FDA" w:rsidRPr="00B76FDA" w:rsidRDefault="00B76FDA" w:rsidP="00B76FDA">
      <w:pPr>
        <w:spacing w:before="60" w:after="60" w:line="288" w:lineRule="auto"/>
        <w:ind w:firstLine="720"/>
        <w:jc w:val="center"/>
        <w:rPr>
          <w:b/>
          <w:sz w:val="40"/>
          <w:szCs w:val="40"/>
        </w:rPr>
      </w:pPr>
      <w:r w:rsidRPr="00B76FDA">
        <w:rPr>
          <w:b/>
          <w:sz w:val="40"/>
          <w:szCs w:val="40"/>
        </w:rPr>
        <w:t>Phương pháp hệ số tin cậy trong phân tích rủi ro</w:t>
      </w:r>
    </w:p>
    <w:p w:rsidR="00B76FDA" w:rsidRPr="00B76FDA" w:rsidRDefault="00B76FDA" w:rsidP="00B76FDA">
      <w:pPr>
        <w:spacing w:before="60" w:after="60" w:line="288" w:lineRule="auto"/>
        <w:ind w:firstLine="720"/>
        <w:jc w:val="both"/>
        <w:rPr>
          <w:sz w:val="26"/>
          <w:szCs w:val="26"/>
        </w:rPr>
      </w:pPr>
      <w:r w:rsidRPr="00B76FDA">
        <w:rPr>
          <w:sz w:val="26"/>
          <w:szCs w:val="26"/>
        </w:rPr>
        <w:t xml:space="preserve">Phương pháp này </w:t>
      </w:r>
      <w:r w:rsidRPr="00B76FDA">
        <w:rPr>
          <w:sz w:val="26"/>
          <w:szCs w:val="26"/>
        </w:rPr>
        <w:t xml:space="preserve"> không thực hiện việc điều chỉnh tỷ lệ chiết khấu mà điểu chỉnh các giá trị của dòng tiền dự kiến – CF</w:t>
      </w:r>
      <w:r w:rsidRPr="00B76FDA">
        <w:rPr>
          <w:sz w:val="26"/>
          <w:szCs w:val="26"/>
          <w:vertAlign w:val="subscript"/>
        </w:rPr>
        <w:t>t</w:t>
      </w:r>
      <w:r w:rsidRPr="00B76FDA">
        <w:rPr>
          <w:sz w:val="26"/>
          <w:szCs w:val="26"/>
        </w:rPr>
        <w:t xml:space="preserve"> bằng cách đưa vào các hệ số điều chỉnh đặc biệt a</w:t>
      </w:r>
      <w:r w:rsidRPr="00B76FDA">
        <w:rPr>
          <w:sz w:val="26"/>
          <w:szCs w:val="26"/>
          <w:vertAlign w:val="subscript"/>
        </w:rPr>
        <w:t>t</w:t>
      </w:r>
      <w:r w:rsidRPr="00B76FDA">
        <w:rPr>
          <w:sz w:val="26"/>
          <w:szCs w:val="26"/>
        </w:rPr>
        <w:t xml:space="preserve"> đối với từng thời kỳ thực hiện dự án. Về lý thuyết, các hệ số a</w:t>
      </w:r>
      <w:r w:rsidRPr="00B76FDA">
        <w:rPr>
          <w:sz w:val="26"/>
          <w:szCs w:val="26"/>
          <w:vertAlign w:val="subscript"/>
        </w:rPr>
        <w:t>t</w:t>
      </w:r>
      <w:r w:rsidRPr="00B76FDA">
        <w:rPr>
          <w:sz w:val="26"/>
          <w:szCs w:val="26"/>
        </w:rPr>
        <w:t xml:space="preserve"> có thể được xác định theo tỷ lệ thức sau đây:</w:t>
      </w:r>
    </w:p>
    <w:p w:rsidR="00B76FDA" w:rsidRPr="00B76FDA" w:rsidRDefault="00B76FDA" w:rsidP="00B76FDA">
      <w:pPr>
        <w:tabs>
          <w:tab w:val="left" w:pos="720"/>
        </w:tabs>
        <w:spacing w:before="60" w:after="60" w:line="288" w:lineRule="auto"/>
        <w:ind w:left="3330"/>
        <w:jc w:val="both"/>
        <w:rPr>
          <w:sz w:val="26"/>
          <w:szCs w:val="26"/>
        </w:rPr>
      </w:pPr>
      <w:r w:rsidRPr="00B76FDA">
        <w:rPr>
          <w:sz w:val="26"/>
          <w:szCs w:val="26"/>
        </w:rPr>
        <w:tab/>
      </w:r>
      <m:oMath>
        <m:sSub>
          <m:sSubPr>
            <m:ctrlPr>
              <w:rPr>
                <w:rFonts w:ascii="Cambria Math" w:hAnsi="Cambria Math"/>
                <w:sz w:val="26"/>
                <w:szCs w:val="26"/>
              </w:rPr>
            </m:ctrlPr>
          </m:sSubPr>
          <m:e>
            <m:r>
              <m:rPr>
                <m:sty m:val="p"/>
              </m:rPr>
              <w:rPr>
                <w:rFonts w:ascii="Cambria Math" w:hAnsi="Cambria Math"/>
                <w:sz w:val="26"/>
                <w:szCs w:val="26"/>
              </w:rPr>
              <m:t>a</m:t>
            </m:r>
          </m:e>
          <m:sub>
            <m:r>
              <m:rPr>
                <m:sty m:val="p"/>
              </m:rPr>
              <w:rPr>
                <w:rFonts w:ascii="Cambria Math" w:hAnsi="Cambria Math"/>
                <w:sz w:val="26"/>
                <w:szCs w:val="26"/>
              </w:rPr>
              <m:t>t</m:t>
            </m:r>
          </m:sub>
        </m:sSub>
        <m:r>
          <w:rPr>
            <w:rFonts w:ascii="Cambria Math" w:eastAsia="Cambria Math" w:hAnsi="Cambria Math"/>
            <w:sz w:val="26"/>
            <w:szCs w:val="26"/>
          </w:rPr>
          <m:t>=</m:t>
        </m:r>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CCF</m:t>
                </m:r>
              </m:e>
              <m:sub>
                <m:r>
                  <m:rPr>
                    <m:sty m:val="p"/>
                  </m:rPr>
                  <w:rPr>
                    <w:rFonts w:ascii="Cambria Math" w:hAnsi="Cambria Math"/>
                    <w:sz w:val="26"/>
                    <w:szCs w:val="26"/>
                  </w:rPr>
                  <m:t xml:space="preserve">t </m:t>
                </m:r>
              </m:sub>
            </m:sSub>
          </m:num>
          <m:den>
            <m:sSub>
              <m:sSubPr>
                <m:ctrlPr>
                  <w:rPr>
                    <w:rFonts w:ascii="Cambria Math" w:hAnsi="Cambria Math"/>
                    <w:sz w:val="26"/>
                    <w:szCs w:val="26"/>
                  </w:rPr>
                </m:ctrlPr>
              </m:sSubPr>
              <m:e>
                <m:r>
                  <m:rPr>
                    <m:sty m:val="p"/>
                  </m:rPr>
                  <w:rPr>
                    <w:rFonts w:ascii="Cambria Math" w:hAnsi="Cambria Math"/>
                    <w:sz w:val="26"/>
                    <w:szCs w:val="26"/>
                  </w:rPr>
                  <m:t>RCF</m:t>
                </m:r>
              </m:e>
              <m:sub>
                <m:r>
                  <m:rPr>
                    <m:sty m:val="p"/>
                  </m:rPr>
                  <w:rPr>
                    <w:rFonts w:ascii="Cambria Math" w:hAnsi="Cambria Math"/>
                    <w:sz w:val="26"/>
                    <w:szCs w:val="26"/>
                  </w:rPr>
                  <m:t xml:space="preserve">t </m:t>
                </m:r>
              </m:sub>
            </m:sSub>
          </m:den>
        </m:f>
      </m:oMath>
    </w:p>
    <w:p w:rsidR="00B76FDA" w:rsidRPr="00B76FDA" w:rsidRDefault="00B76FDA" w:rsidP="00B76FDA">
      <w:pPr>
        <w:spacing w:before="60" w:after="60" w:line="288" w:lineRule="auto"/>
        <w:jc w:val="both"/>
        <w:rPr>
          <w:sz w:val="26"/>
          <w:szCs w:val="26"/>
        </w:rPr>
      </w:pPr>
      <w:r w:rsidRPr="00B76FDA">
        <w:rPr>
          <w:sz w:val="26"/>
          <w:szCs w:val="26"/>
        </w:rPr>
        <w:tab/>
        <w:t>Trong đó, CCF</w:t>
      </w:r>
      <w:r w:rsidRPr="00B76FDA">
        <w:rPr>
          <w:sz w:val="26"/>
          <w:szCs w:val="26"/>
          <w:vertAlign w:val="subscript"/>
        </w:rPr>
        <w:t>t</w:t>
      </w:r>
      <w:r w:rsidRPr="00B76FDA">
        <w:rPr>
          <w:sz w:val="26"/>
          <w:szCs w:val="26"/>
        </w:rPr>
        <w:t xml:space="preserve"> – giá trị các luồng thu nhập ròng từ các giao dịch không có rủi ro trong giai đoạn t (ví dụ: các khoản thanh toán định kỳ đối với một công trái dài hạn của Chính phủ, thu nhập hàng năm từ lãi suất tiền gửi ngân hàng …); RCF</w:t>
      </w:r>
      <w:r w:rsidRPr="00B76FDA">
        <w:rPr>
          <w:sz w:val="26"/>
          <w:szCs w:val="26"/>
          <w:vertAlign w:val="subscript"/>
        </w:rPr>
        <w:t>t</w:t>
      </w:r>
      <w:r w:rsidRPr="00B76FDA">
        <w:rPr>
          <w:sz w:val="26"/>
          <w:szCs w:val="26"/>
        </w:rPr>
        <w:t xml:space="preserve"> – giá trị các luồng thu nhập ròng dự kiến ( kế hoạch từ việc thực hiện dự án trong giai đoạn t)</w:t>
      </w:r>
    </w:p>
    <w:p w:rsidR="00B76FDA" w:rsidRPr="00B76FDA" w:rsidRDefault="00B76FDA" w:rsidP="00B76FDA">
      <w:pPr>
        <w:tabs>
          <w:tab w:val="left" w:pos="720"/>
        </w:tabs>
        <w:spacing w:before="60" w:after="60" w:line="288" w:lineRule="auto"/>
        <w:ind w:hanging="720"/>
        <w:jc w:val="both"/>
        <w:rPr>
          <w:sz w:val="26"/>
          <w:szCs w:val="26"/>
        </w:rPr>
      </w:pPr>
      <w:r w:rsidRPr="00B76FDA">
        <w:rPr>
          <w:sz w:val="26"/>
          <w:szCs w:val="26"/>
        </w:rPr>
        <w:tab/>
      </w:r>
      <w:r w:rsidRPr="00B76FDA">
        <w:rPr>
          <w:sz w:val="26"/>
          <w:szCs w:val="26"/>
        </w:rPr>
        <w:tab/>
        <w:t xml:space="preserve">Khi đó: </w:t>
      </w:r>
      <w:r w:rsidRPr="00B76FDA">
        <w:rPr>
          <w:sz w:val="26"/>
          <w:szCs w:val="26"/>
        </w:rPr>
        <w:tab/>
      </w:r>
      <w:r w:rsidRPr="00B76FDA">
        <w:rPr>
          <w:sz w:val="26"/>
          <w:szCs w:val="26"/>
        </w:rPr>
        <w:tab/>
        <w:t>CCF</w:t>
      </w:r>
      <w:r w:rsidRPr="00B76FDA">
        <w:rPr>
          <w:sz w:val="26"/>
          <w:szCs w:val="26"/>
          <w:vertAlign w:val="subscript"/>
        </w:rPr>
        <w:t>t</w:t>
      </w:r>
      <w:r w:rsidRPr="00B76FDA">
        <w:rPr>
          <w:sz w:val="26"/>
          <w:szCs w:val="26"/>
        </w:rPr>
        <w:t xml:space="preserve"> = a</w:t>
      </w:r>
      <w:r w:rsidRPr="00B76FDA">
        <w:rPr>
          <w:sz w:val="26"/>
          <w:szCs w:val="26"/>
          <w:vertAlign w:val="subscript"/>
        </w:rPr>
        <w:t>t</w:t>
      </w:r>
      <w:r w:rsidRPr="00B76FDA">
        <w:rPr>
          <w:sz w:val="26"/>
          <w:szCs w:val="26"/>
        </w:rPr>
        <w:t xml:space="preserve"> x RCF</w:t>
      </w:r>
      <w:r w:rsidRPr="00B76FDA">
        <w:rPr>
          <w:sz w:val="26"/>
          <w:szCs w:val="26"/>
          <w:vertAlign w:val="subscript"/>
        </w:rPr>
        <w:t>t</w:t>
      </w:r>
    </w:p>
    <w:p w:rsidR="00B76FDA" w:rsidRPr="00B76FDA" w:rsidRDefault="00B76FDA" w:rsidP="00B76FDA">
      <w:pPr>
        <w:tabs>
          <w:tab w:val="left" w:pos="720"/>
        </w:tabs>
        <w:spacing w:before="60" w:after="60" w:line="288" w:lineRule="auto"/>
        <w:ind w:hanging="720"/>
        <w:jc w:val="both"/>
        <w:rPr>
          <w:sz w:val="26"/>
          <w:szCs w:val="26"/>
        </w:rPr>
      </w:pPr>
      <w:r w:rsidRPr="00B76FDA">
        <w:rPr>
          <w:sz w:val="26"/>
          <w:szCs w:val="26"/>
        </w:rPr>
        <w:tab/>
      </w:r>
      <w:r w:rsidRPr="00B76FDA">
        <w:rPr>
          <w:sz w:val="26"/>
          <w:szCs w:val="26"/>
        </w:rPr>
        <w:tab/>
      </w:r>
      <w:r w:rsidRPr="00B76FDA">
        <w:rPr>
          <w:sz w:val="26"/>
          <w:szCs w:val="26"/>
        </w:rPr>
        <w:tab/>
      </w:r>
      <w:r w:rsidRPr="00B76FDA">
        <w:rPr>
          <w:sz w:val="26"/>
          <w:szCs w:val="26"/>
        </w:rPr>
        <w:tab/>
      </w:r>
      <w:r w:rsidRPr="00B76FDA">
        <w:rPr>
          <w:sz w:val="26"/>
          <w:szCs w:val="26"/>
        </w:rPr>
        <w:tab/>
      </w:r>
      <w:r w:rsidRPr="00B76FDA">
        <w:rPr>
          <w:sz w:val="26"/>
          <w:szCs w:val="26"/>
        </w:rPr>
        <w:tab/>
        <w:t>a</w:t>
      </w:r>
      <w:r w:rsidRPr="00B76FDA">
        <w:rPr>
          <w:sz w:val="26"/>
          <w:szCs w:val="26"/>
          <w:vertAlign w:val="subscript"/>
        </w:rPr>
        <w:t xml:space="preserve">t </w:t>
      </w:r>
      <w:r w:rsidRPr="00B76FDA">
        <w:rPr>
          <w:sz w:val="26"/>
          <w:szCs w:val="26"/>
        </w:rPr>
        <w:t xml:space="preserve"> &lt;= 1</w:t>
      </w:r>
    </w:p>
    <w:p w:rsidR="00B76FDA" w:rsidRPr="00B76FDA" w:rsidRDefault="00B76FDA" w:rsidP="00B76FDA">
      <w:pPr>
        <w:spacing w:before="60" w:after="60" w:line="288" w:lineRule="auto"/>
        <w:jc w:val="both"/>
        <w:rPr>
          <w:sz w:val="26"/>
          <w:szCs w:val="26"/>
        </w:rPr>
      </w:pPr>
      <w:r w:rsidRPr="00B76FDA">
        <w:rPr>
          <w:sz w:val="26"/>
          <w:szCs w:val="26"/>
        </w:rPr>
        <w:tab/>
        <w:t>Như vậy, chúng ta thực hiện việc quy đổi các dòng tiền dự kiến về các dòng tiền mà trong thực tế khả năng nhận được là chắc chắn hơn và giá trị của chúng có thể được xác định một cách tin cậy và chính xác hơn</w:t>
      </w:r>
    </w:p>
    <w:p w:rsidR="00B76FDA" w:rsidRPr="00B76FDA" w:rsidRDefault="00B76FDA" w:rsidP="00B76FDA">
      <w:pPr>
        <w:spacing w:before="60" w:after="60" w:line="288" w:lineRule="auto"/>
        <w:jc w:val="both"/>
        <w:rPr>
          <w:sz w:val="26"/>
          <w:szCs w:val="26"/>
        </w:rPr>
      </w:pPr>
      <w:r w:rsidRPr="00B76FDA">
        <w:rPr>
          <w:sz w:val="26"/>
          <w:szCs w:val="26"/>
        </w:rPr>
        <w:tab/>
        <w:t>Tuy nhiên, trong thực tế để xác định giá trị các hệ số tin cậy (a</w:t>
      </w:r>
      <w:r w:rsidRPr="00B76FDA">
        <w:rPr>
          <w:sz w:val="26"/>
          <w:szCs w:val="26"/>
          <w:vertAlign w:val="subscript"/>
        </w:rPr>
        <w:t>t</w:t>
      </w:r>
      <w:r w:rsidRPr="00B76FDA">
        <w:rPr>
          <w:sz w:val="26"/>
          <w:szCs w:val="26"/>
        </w:rPr>
        <w:t>) thường phải nhờ đến phương pháp phân tích dữ liệu thực tế của các dự án đã thực hiện hoặc phương pháp giám định.</w:t>
      </w:r>
    </w:p>
    <w:p w:rsidR="00B76FDA" w:rsidRPr="00B76FDA" w:rsidRDefault="00B76FDA" w:rsidP="00B76FDA">
      <w:pPr>
        <w:spacing w:before="60" w:after="60" w:line="288" w:lineRule="auto"/>
        <w:jc w:val="both"/>
        <w:rPr>
          <w:sz w:val="26"/>
          <w:szCs w:val="26"/>
        </w:rPr>
      </w:pPr>
      <w:r w:rsidRPr="00B76FDA">
        <w:rPr>
          <w:sz w:val="26"/>
          <w:szCs w:val="26"/>
        </w:rPr>
        <w:tab/>
        <w:t>Sau khi tính được các hệ số tin cậy a</w:t>
      </w:r>
      <w:r w:rsidRPr="00B76FDA">
        <w:rPr>
          <w:sz w:val="26"/>
          <w:szCs w:val="26"/>
          <w:vertAlign w:val="subscript"/>
        </w:rPr>
        <w:t>t</w:t>
      </w:r>
      <w:r w:rsidRPr="00B76FDA">
        <w:rPr>
          <w:sz w:val="26"/>
          <w:szCs w:val="26"/>
        </w:rPr>
        <w:t xml:space="preserve"> , ta sẽ xác định các chỉ tiêu NPV hoặc IRR theo các dòng tiền đã được điều chỉnh theo hệ số a</w:t>
      </w:r>
      <w:r w:rsidRPr="00B76FDA">
        <w:rPr>
          <w:sz w:val="26"/>
          <w:szCs w:val="26"/>
          <w:vertAlign w:val="subscript"/>
        </w:rPr>
        <w:t>t</w:t>
      </w:r>
      <w:r w:rsidRPr="00B76FDA">
        <w:rPr>
          <w:sz w:val="26"/>
          <w:szCs w:val="26"/>
        </w:rPr>
        <w:t xml:space="preserve"> .</w:t>
      </w:r>
    </w:p>
    <w:p w:rsidR="00B76FDA" w:rsidRPr="00B76FDA" w:rsidRDefault="00B76FDA" w:rsidP="00B76FDA">
      <w:pPr>
        <w:spacing w:before="60" w:after="60" w:line="288" w:lineRule="auto"/>
        <w:jc w:val="both"/>
        <w:rPr>
          <w:sz w:val="26"/>
          <w:szCs w:val="26"/>
        </w:rPr>
      </w:pPr>
      <w:r w:rsidRPr="00B76FDA">
        <w:rPr>
          <w:sz w:val="26"/>
          <w:szCs w:val="26"/>
        </w:rPr>
        <w:tab/>
        <w:t>Ví dụ, chỉ tiêu NPV có thể được xác định theo công thức:</w:t>
      </w:r>
    </w:p>
    <w:p w:rsidR="00B76FDA" w:rsidRPr="00B76FDA" w:rsidRDefault="00B76FDA" w:rsidP="00B76FDA">
      <w:pPr>
        <w:spacing w:before="60" w:after="60" w:line="288" w:lineRule="auto"/>
        <w:ind w:left="3240"/>
        <w:jc w:val="both"/>
        <w:rPr>
          <w:sz w:val="26"/>
          <w:szCs w:val="26"/>
        </w:rPr>
      </w:pPr>
      <m:oMathPara>
        <m:oMath>
          <m:r>
            <m:rPr>
              <m:sty m:val="p"/>
            </m:rPr>
            <w:rPr>
              <w:rFonts w:ascii="Cambria Math" w:hAnsi="Cambria Math"/>
              <w:sz w:val="26"/>
              <w:szCs w:val="26"/>
            </w:rPr>
            <m:t>NPV</m:t>
          </m:r>
          <m:r>
            <w:rPr>
              <w:rFonts w:ascii="Cambria Math" w:eastAsia="Cambria Math" w:hAnsi="Cambria Math"/>
              <w:sz w:val="26"/>
              <w:szCs w:val="26"/>
            </w:rPr>
            <m:t>=</m:t>
          </m:r>
          <m:nary>
            <m:naryPr>
              <m:chr m:val="∑"/>
              <m:limLoc m:val="undOvr"/>
              <m:ctrlPr>
                <w:rPr>
                  <w:rFonts w:ascii="Cambria Math" w:hAnsi="Cambria Math"/>
                  <w:sz w:val="26"/>
                  <w:szCs w:val="26"/>
                </w:rPr>
              </m:ctrlPr>
            </m:naryPr>
            <m:sub>
              <m:r>
                <m:rPr>
                  <m:sty m:val="p"/>
                </m:rPr>
                <w:rPr>
                  <w:rFonts w:ascii="Cambria Math" w:hAnsi="Cambria Math"/>
                  <w:sz w:val="26"/>
                  <w:szCs w:val="26"/>
                </w:rPr>
                <m:t>t=1</m:t>
              </m:r>
            </m:sub>
            <m:sup>
              <m:r>
                <m:rPr>
                  <m:sty m:val="p"/>
                </m:rPr>
                <w:rPr>
                  <w:rFonts w:ascii="Cambria Math" w:hAnsi="Cambria Math"/>
                  <w:sz w:val="26"/>
                  <w:szCs w:val="26"/>
                </w:rPr>
                <m:t>n</m:t>
              </m:r>
            </m:sup>
            <m:e>
              <m:r>
                <m:rPr>
                  <m:sty m:val="p"/>
                </m:rPr>
                <w:rPr>
                  <w:rFonts w:ascii="Cambria Math" w:hAnsi="Cambria Math"/>
                  <w:sz w:val="26"/>
                  <w:szCs w:val="26"/>
                </w:rPr>
                <m:t>=</m:t>
              </m:r>
            </m:e>
          </m:nary>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a</m:t>
                  </m:r>
                </m:e>
                <m:sub>
                  <m:r>
                    <m:rPr>
                      <m:sty m:val="p"/>
                    </m:rPr>
                    <w:rPr>
                      <w:rFonts w:ascii="Cambria Math" w:hAnsi="Cambria Math"/>
                      <w:sz w:val="26"/>
                      <w:szCs w:val="26"/>
                    </w:rPr>
                    <m:t xml:space="preserve">t </m:t>
                  </m:r>
                </m:sub>
              </m:sSub>
              <m:r>
                <m:rPr>
                  <m:sty m:val="p"/>
                </m:rPr>
                <w:rPr>
                  <w:rFonts w:ascii="Cambria Math" w:hAnsi="Cambria Math"/>
                  <w:sz w:val="26"/>
                  <w:szCs w:val="26"/>
                </w:rPr>
                <m:t xml:space="preserve">x </m:t>
              </m:r>
              <m:sSub>
                <m:sSubPr>
                  <m:ctrlPr>
                    <w:rPr>
                      <w:rFonts w:ascii="Cambria Math" w:hAnsi="Cambria Math"/>
                      <w:sz w:val="26"/>
                      <w:szCs w:val="26"/>
                    </w:rPr>
                  </m:ctrlPr>
                </m:sSubPr>
                <m:e>
                  <m:r>
                    <m:rPr>
                      <m:sty m:val="p"/>
                    </m:rPr>
                    <w:rPr>
                      <w:rFonts w:ascii="Cambria Math" w:hAnsi="Cambria Math"/>
                      <w:sz w:val="26"/>
                      <w:szCs w:val="26"/>
                    </w:rPr>
                    <m:t>CF</m:t>
                  </m:r>
                </m:e>
                <m:sub>
                  <m:r>
                    <m:rPr>
                      <m:sty m:val="p"/>
                    </m:rPr>
                    <w:rPr>
                      <w:rFonts w:ascii="Cambria Math" w:hAnsi="Cambria Math"/>
                      <w:sz w:val="26"/>
                      <w:szCs w:val="26"/>
                    </w:rPr>
                    <m:t>t</m:t>
                  </m:r>
                </m:sub>
              </m:sSub>
            </m:num>
            <m:den>
              <m:r>
                <m:rPr>
                  <m:sty m:val="p"/>
                </m:rPr>
                <w:rPr>
                  <w:rFonts w:ascii="Cambria Math" w:hAnsi="Cambria Math"/>
                  <w:sz w:val="26"/>
                  <w:szCs w:val="26"/>
                </w:rPr>
                <m:t>(1+r</m:t>
              </m:r>
              <m:sSup>
                <m:sSupPr>
                  <m:ctrlPr>
                    <w:rPr>
                      <w:rFonts w:ascii="Cambria Math" w:hAnsi="Cambria Math"/>
                      <w:sz w:val="26"/>
                      <w:szCs w:val="26"/>
                    </w:rPr>
                  </m:ctrlPr>
                </m:sSupPr>
                <m:e>
                  <m:r>
                    <m:rPr>
                      <m:sty m:val="p"/>
                    </m:rPr>
                    <w:rPr>
                      <w:rFonts w:ascii="Cambria Math" w:hAnsi="Cambria Math"/>
                      <w:sz w:val="26"/>
                      <w:szCs w:val="26"/>
                    </w:rPr>
                    <m:t>)</m:t>
                  </m:r>
                </m:e>
                <m:sup>
                  <m:r>
                    <m:rPr>
                      <m:sty m:val="p"/>
                    </m:rPr>
                    <w:rPr>
                      <w:rFonts w:ascii="Cambria Math" w:hAnsi="Cambria Math"/>
                      <w:sz w:val="26"/>
                      <w:szCs w:val="26"/>
                    </w:rPr>
                    <m:t>t</m:t>
                  </m:r>
                </m:sup>
              </m:sSup>
            </m:den>
          </m:f>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I</m:t>
              </m:r>
            </m:e>
            <m:sub>
              <m:r>
                <m:rPr>
                  <m:sty m:val="p"/>
                </m:rPr>
                <w:rPr>
                  <w:rFonts w:ascii="Cambria Math" w:hAnsi="Cambria Math"/>
                  <w:sz w:val="26"/>
                  <w:szCs w:val="26"/>
                </w:rPr>
                <m:t>O</m:t>
              </m:r>
            </m:sub>
          </m:sSub>
        </m:oMath>
      </m:oMathPara>
    </w:p>
    <w:p w:rsidR="00B76FDA" w:rsidRPr="00B76FDA" w:rsidRDefault="00B76FDA" w:rsidP="00B76FDA">
      <w:pPr>
        <w:spacing w:before="60" w:after="60" w:line="288" w:lineRule="auto"/>
        <w:jc w:val="both"/>
        <w:rPr>
          <w:sz w:val="26"/>
          <w:szCs w:val="26"/>
        </w:rPr>
      </w:pPr>
      <w:r w:rsidRPr="00B76FDA">
        <w:rPr>
          <w:i/>
          <w:sz w:val="26"/>
          <w:szCs w:val="26"/>
        </w:rPr>
        <w:tab/>
      </w:r>
      <w:r w:rsidRPr="00B76FDA">
        <w:rPr>
          <w:sz w:val="26"/>
          <w:szCs w:val="26"/>
        </w:rPr>
        <w:t xml:space="preserve">Trong đó: </w:t>
      </w:r>
    </w:p>
    <w:p w:rsidR="00B76FDA" w:rsidRPr="00B76FDA" w:rsidRDefault="00B76FDA" w:rsidP="00B76FDA">
      <w:pPr>
        <w:spacing w:before="60" w:after="60" w:line="288" w:lineRule="auto"/>
        <w:rPr>
          <w:sz w:val="26"/>
          <w:szCs w:val="26"/>
        </w:rPr>
      </w:pPr>
      <w:r w:rsidRPr="00B76FDA">
        <w:rPr>
          <w:sz w:val="26"/>
          <w:szCs w:val="26"/>
        </w:rPr>
        <w:tab/>
      </w:r>
      <w:r w:rsidRPr="00B76FDA">
        <w:rPr>
          <w:sz w:val="26"/>
          <w:szCs w:val="26"/>
        </w:rPr>
        <w:tab/>
        <w:t xml:space="preserve">       CF</w:t>
      </w:r>
      <w:r w:rsidRPr="00B76FDA">
        <w:rPr>
          <w:sz w:val="26"/>
          <w:szCs w:val="26"/>
          <w:vertAlign w:val="subscript"/>
        </w:rPr>
        <w:t>t</w:t>
      </w:r>
      <w:r w:rsidRPr="00B76FDA">
        <w:rPr>
          <w:sz w:val="26"/>
          <w:szCs w:val="26"/>
        </w:rPr>
        <w:t xml:space="preserve"> :dòng tiền trong thời kì t</w:t>
      </w:r>
    </w:p>
    <w:p w:rsidR="00B76FDA" w:rsidRPr="00B76FDA" w:rsidRDefault="00B76FDA" w:rsidP="00B76FDA">
      <w:pPr>
        <w:spacing w:before="60" w:after="60" w:line="288" w:lineRule="auto"/>
        <w:rPr>
          <w:sz w:val="26"/>
          <w:szCs w:val="26"/>
        </w:rPr>
      </w:pPr>
      <w:r w:rsidRPr="00B76FDA">
        <w:rPr>
          <w:sz w:val="26"/>
          <w:szCs w:val="26"/>
        </w:rPr>
        <w:tab/>
      </w:r>
      <w:r w:rsidRPr="00B76FDA">
        <w:rPr>
          <w:sz w:val="26"/>
          <w:szCs w:val="26"/>
        </w:rPr>
        <w:tab/>
        <w:t xml:space="preserve">       r     :tỷ lệ chiết khấu</w:t>
      </w:r>
    </w:p>
    <w:p w:rsidR="00B76FDA" w:rsidRPr="00B76FDA" w:rsidRDefault="00B76FDA" w:rsidP="00B76FDA">
      <w:pPr>
        <w:spacing w:before="60" w:after="60" w:line="288" w:lineRule="auto"/>
        <w:rPr>
          <w:sz w:val="26"/>
          <w:szCs w:val="26"/>
        </w:rPr>
      </w:pPr>
      <w:r w:rsidRPr="00B76FDA">
        <w:rPr>
          <w:sz w:val="26"/>
          <w:szCs w:val="26"/>
        </w:rPr>
        <w:tab/>
      </w:r>
      <w:r w:rsidRPr="00B76FDA">
        <w:rPr>
          <w:sz w:val="26"/>
          <w:szCs w:val="26"/>
        </w:rPr>
        <w:tab/>
        <w:t xml:space="preserve">       a</w:t>
      </w:r>
      <w:r w:rsidRPr="00B76FDA">
        <w:rPr>
          <w:sz w:val="26"/>
          <w:szCs w:val="26"/>
          <w:vertAlign w:val="subscript"/>
        </w:rPr>
        <w:t xml:space="preserve">t </w:t>
      </w:r>
      <w:r w:rsidRPr="00B76FDA">
        <w:rPr>
          <w:sz w:val="26"/>
          <w:szCs w:val="26"/>
        </w:rPr>
        <w:t xml:space="preserve">    :hệ số điều chỉnh</w:t>
      </w:r>
    </w:p>
    <w:p w:rsidR="00B76FDA" w:rsidRPr="00B76FDA" w:rsidRDefault="00B76FDA" w:rsidP="00B76FDA">
      <w:pPr>
        <w:spacing w:before="60" w:after="60" w:line="288" w:lineRule="auto"/>
        <w:rPr>
          <w:sz w:val="26"/>
          <w:szCs w:val="26"/>
        </w:rPr>
      </w:pPr>
      <w:r w:rsidRPr="00B76FDA">
        <w:rPr>
          <w:sz w:val="26"/>
          <w:szCs w:val="26"/>
        </w:rPr>
        <w:tab/>
      </w:r>
      <w:r w:rsidRPr="00B76FDA">
        <w:rPr>
          <w:sz w:val="26"/>
          <w:szCs w:val="26"/>
        </w:rPr>
        <w:tab/>
        <w:t xml:space="preserve">       I</w:t>
      </w:r>
      <w:r w:rsidRPr="00B76FDA">
        <w:rPr>
          <w:sz w:val="26"/>
          <w:szCs w:val="26"/>
          <w:vertAlign w:val="subscript"/>
        </w:rPr>
        <w:t>O</w:t>
      </w:r>
      <w:r w:rsidRPr="00B76FDA">
        <w:rPr>
          <w:sz w:val="26"/>
          <w:szCs w:val="26"/>
        </w:rPr>
        <w:t xml:space="preserve">    :đầu tư ban đầu</w:t>
      </w:r>
    </w:p>
    <w:p w:rsidR="00B76FDA" w:rsidRPr="00B76FDA" w:rsidRDefault="00B76FDA" w:rsidP="00B76FDA">
      <w:pPr>
        <w:spacing w:before="60" w:after="60" w:line="288" w:lineRule="auto"/>
        <w:rPr>
          <w:sz w:val="26"/>
          <w:szCs w:val="26"/>
        </w:rPr>
      </w:pPr>
      <w:r w:rsidRPr="00B76FDA">
        <w:rPr>
          <w:sz w:val="26"/>
          <w:szCs w:val="26"/>
        </w:rPr>
        <w:tab/>
      </w:r>
      <w:r w:rsidRPr="00B76FDA">
        <w:rPr>
          <w:sz w:val="26"/>
          <w:szCs w:val="26"/>
        </w:rPr>
        <w:tab/>
        <w:t xml:space="preserve">       n </w:t>
      </w:r>
      <w:r w:rsidRPr="00B76FDA">
        <w:rPr>
          <w:sz w:val="26"/>
          <w:szCs w:val="26"/>
        </w:rPr>
        <w:softHyphen/>
        <w:t xml:space="preserve">    :thời gian vận hành của dự án</w:t>
      </w:r>
    </w:p>
    <w:p w:rsidR="00B76FDA" w:rsidRPr="00B76FDA" w:rsidRDefault="00B76FDA" w:rsidP="00B76FDA">
      <w:pPr>
        <w:spacing w:before="60" w:after="60" w:line="288" w:lineRule="auto"/>
        <w:jc w:val="both"/>
        <w:rPr>
          <w:spacing w:val="-8"/>
          <w:sz w:val="26"/>
          <w:szCs w:val="26"/>
        </w:rPr>
      </w:pPr>
      <w:r w:rsidRPr="00B76FDA">
        <w:rPr>
          <w:sz w:val="26"/>
          <w:szCs w:val="26"/>
        </w:rPr>
        <w:tab/>
      </w:r>
      <w:r w:rsidRPr="00B76FDA">
        <w:rPr>
          <w:spacing w:val="-8"/>
          <w:sz w:val="26"/>
          <w:szCs w:val="26"/>
        </w:rPr>
        <w:t>Sẽ ưu tiên chọn dự án có dòng tiền đã được điều chỉnh đảm bảo giá trị NPV lớn nhất.</w:t>
      </w:r>
    </w:p>
    <w:p w:rsidR="00B76FDA" w:rsidRPr="00B76FDA" w:rsidRDefault="00B76FDA" w:rsidP="00B76FDA">
      <w:pPr>
        <w:spacing w:before="60" w:after="60" w:line="288" w:lineRule="auto"/>
        <w:jc w:val="both"/>
        <w:rPr>
          <w:sz w:val="26"/>
          <w:szCs w:val="26"/>
        </w:rPr>
      </w:pPr>
      <w:r w:rsidRPr="00B76FDA">
        <w:rPr>
          <w:sz w:val="26"/>
          <w:szCs w:val="26"/>
        </w:rPr>
        <w:tab/>
        <w:t>Các hệ số a</w:t>
      </w:r>
      <w:r w:rsidRPr="00B76FDA">
        <w:rPr>
          <w:sz w:val="26"/>
          <w:szCs w:val="26"/>
          <w:vertAlign w:val="subscript"/>
        </w:rPr>
        <w:t>t</w:t>
      </w:r>
      <w:r w:rsidRPr="00B76FDA">
        <w:rPr>
          <w:sz w:val="26"/>
          <w:szCs w:val="26"/>
        </w:rPr>
        <w:t xml:space="preserve"> được sử dụng trong phương pháp này được gọi là các hệ số tin cậy</w:t>
      </w:r>
    </w:p>
    <w:p w:rsidR="00B76FDA" w:rsidRPr="00B76FDA" w:rsidRDefault="00B76FDA" w:rsidP="00B76FDA">
      <w:pPr>
        <w:shd w:val="clear" w:color="auto" w:fill="FFFFFF"/>
        <w:spacing w:before="60" w:after="60" w:line="288" w:lineRule="auto"/>
        <w:jc w:val="both"/>
        <w:rPr>
          <w:sz w:val="26"/>
          <w:szCs w:val="26"/>
        </w:rPr>
      </w:pPr>
      <w:r w:rsidRPr="00B76FDA">
        <w:rPr>
          <w:color w:val="222222"/>
          <w:sz w:val="26"/>
          <w:szCs w:val="26"/>
        </w:rPr>
        <w:lastRenderedPageBreak/>
        <w:t xml:space="preserve"> </w:t>
      </w:r>
      <w:r w:rsidRPr="00B76FDA">
        <w:rPr>
          <w:color w:val="222222"/>
          <w:sz w:val="26"/>
          <w:szCs w:val="26"/>
        </w:rPr>
        <w:tab/>
      </w:r>
      <w:r w:rsidRPr="00B76FDA">
        <w:rPr>
          <w:color w:val="222222"/>
          <w:sz w:val="26"/>
          <w:szCs w:val="26"/>
          <w:u w:val="single"/>
        </w:rPr>
        <w:t>Ví dụ:</w:t>
      </w:r>
      <w:r w:rsidRPr="00B76FDA">
        <w:rPr>
          <w:color w:val="222222"/>
          <w:sz w:val="26"/>
          <w:szCs w:val="26"/>
        </w:rPr>
        <w:t xml:space="preserve"> </w:t>
      </w:r>
      <w:r w:rsidRPr="00B76FDA">
        <w:rPr>
          <w:sz w:val="26"/>
          <w:szCs w:val="26"/>
        </w:rPr>
        <w:t>Một doanh nghiệp đang nghiên cứu một dự án đầu tư có chi phí đầu tư ban đầu là 100.000USD. Luồng thu nhập dự kiến từ quá trình vận hành dự án trong 3 năm là 50.000USD, 60.000USD và 40.000USD. Hãy đánh giá hiệu quả dự án nếu trong quá trình phân tích của các chuyên gia, các hệ số tin cậy có giá trị tương ứng là: 0,9; 0,85; 0,6. Tỷ lệ chiết khấu: 8%. Kết quả tính toán dòng tiền có tính đến rủi ro đối với ví dụ trên có thể cho vào bảng 1.</w:t>
      </w: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
        <w:gridCol w:w="1577"/>
        <w:gridCol w:w="1321"/>
        <w:gridCol w:w="801"/>
        <w:gridCol w:w="1278"/>
        <w:gridCol w:w="1321"/>
      </w:tblGrid>
      <w:tr w:rsidR="00B76FDA" w:rsidRPr="00B76FDA" w:rsidTr="006112D9">
        <w:trPr>
          <w:trHeight w:val="323"/>
          <w:jc w:val="center"/>
        </w:trPr>
        <w:tc>
          <w:tcPr>
            <w:tcW w:w="7179" w:type="dxa"/>
            <w:gridSpan w:val="6"/>
            <w:tcBorders>
              <w:top w:val="nil"/>
              <w:left w:val="nil"/>
              <w:bottom w:val="single" w:sz="4" w:space="0" w:color="auto"/>
              <w:right w:val="nil"/>
            </w:tcBorders>
            <w:vAlign w:val="center"/>
          </w:tcPr>
          <w:p w:rsidR="00B76FDA" w:rsidRPr="00B76FDA" w:rsidRDefault="00B76FDA" w:rsidP="006112D9">
            <w:pPr>
              <w:spacing w:before="60" w:after="60"/>
              <w:rPr>
                <w:b/>
                <w:sz w:val="26"/>
                <w:szCs w:val="26"/>
              </w:rPr>
            </w:pPr>
            <w:r w:rsidRPr="00B76FDA">
              <w:rPr>
                <w:i/>
                <w:sz w:val="26"/>
                <w:szCs w:val="26"/>
              </w:rPr>
              <w:t>Bảng 3:</w:t>
            </w:r>
          </w:p>
        </w:tc>
      </w:tr>
      <w:tr w:rsidR="00B76FDA" w:rsidRPr="00B76FDA" w:rsidTr="006112D9">
        <w:trPr>
          <w:trHeight w:val="323"/>
          <w:jc w:val="center"/>
        </w:trPr>
        <w:tc>
          <w:tcPr>
            <w:tcW w:w="881" w:type="dxa"/>
            <w:tcBorders>
              <w:top w:val="single" w:sz="4" w:space="0" w:color="auto"/>
              <w:left w:val="single" w:sz="4" w:space="0" w:color="auto"/>
              <w:bottom w:val="single" w:sz="4" w:space="0" w:color="auto"/>
              <w:right w:val="single" w:sz="4" w:space="0" w:color="auto"/>
            </w:tcBorders>
            <w:vAlign w:val="center"/>
          </w:tcPr>
          <w:p w:rsidR="00B76FDA" w:rsidRPr="00B76FDA" w:rsidRDefault="00B76FDA" w:rsidP="006112D9">
            <w:pPr>
              <w:tabs>
                <w:tab w:val="left" w:pos="720"/>
              </w:tabs>
              <w:spacing w:before="60" w:after="60"/>
              <w:jc w:val="center"/>
              <w:rPr>
                <w:sz w:val="26"/>
                <w:szCs w:val="26"/>
              </w:rPr>
            </w:pPr>
            <w:r w:rsidRPr="00B76FDA">
              <w:rPr>
                <w:sz w:val="26"/>
                <w:szCs w:val="26"/>
              </w:rPr>
              <w:t>t</w:t>
            </w:r>
          </w:p>
        </w:tc>
        <w:tc>
          <w:tcPr>
            <w:tcW w:w="1577" w:type="dxa"/>
            <w:tcBorders>
              <w:top w:val="single" w:sz="4" w:space="0" w:color="auto"/>
              <w:left w:val="single" w:sz="4" w:space="0" w:color="auto"/>
              <w:bottom w:val="single" w:sz="4" w:space="0" w:color="auto"/>
              <w:right w:val="single" w:sz="4" w:space="0" w:color="auto"/>
            </w:tcBorders>
            <w:vAlign w:val="center"/>
          </w:tcPr>
          <w:p w:rsidR="00B76FDA" w:rsidRPr="00B76FDA" w:rsidRDefault="00B76FDA" w:rsidP="006112D9">
            <w:pPr>
              <w:tabs>
                <w:tab w:val="left" w:pos="720"/>
              </w:tabs>
              <w:spacing w:before="60" w:after="60"/>
              <w:jc w:val="center"/>
              <w:rPr>
                <w:sz w:val="26"/>
                <w:szCs w:val="26"/>
              </w:rPr>
            </w:pPr>
            <w:r w:rsidRPr="00B76FDA">
              <w:rPr>
                <w:sz w:val="26"/>
                <w:szCs w:val="26"/>
              </w:rPr>
              <w:t>1/ (1+0,08)</w:t>
            </w:r>
            <w:r w:rsidRPr="00B76FDA">
              <w:rPr>
                <w:sz w:val="26"/>
                <w:szCs w:val="26"/>
                <w:vertAlign w:val="superscript"/>
              </w:rPr>
              <w:t>t</w:t>
            </w:r>
          </w:p>
        </w:tc>
        <w:tc>
          <w:tcPr>
            <w:tcW w:w="1321" w:type="dxa"/>
            <w:tcBorders>
              <w:top w:val="single" w:sz="4" w:space="0" w:color="auto"/>
              <w:left w:val="single" w:sz="4" w:space="0" w:color="auto"/>
              <w:bottom w:val="single" w:sz="4" w:space="0" w:color="auto"/>
              <w:right w:val="single" w:sz="4" w:space="0" w:color="auto"/>
            </w:tcBorders>
            <w:vAlign w:val="center"/>
          </w:tcPr>
          <w:p w:rsidR="00B76FDA" w:rsidRPr="00B76FDA" w:rsidRDefault="00B76FDA" w:rsidP="006112D9">
            <w:pPr>
              <w:tabs>
                <w:tab w:val="left" w:pos="720"/>
              </w:tabs>
              <w:spacing w:before="60" w:after="60"/>
              <w:jc w:val="center"/>
              <w:rPr>
                <w:sz w:val="26"/>
                <w:szCs w:val="26"/>
              </w:rPr>
            </w:pPr>
            <w:r w:rsidRPr="00B76FDA">
              <w:rPr>
                <w:sz w:val="26"/>
                <w:szCs w:val="26"/>
              </w:rPr>
              <w:t>CF</w:t>
            </w:r>
            <w:r w:rsidRPr="00B76FDA">
              <w:rPr>
                <w:sz w:val="26"/>
                <w:szCs w:val="26"/>
                <w:vertAlign w:val="subscript"/>
              </w:rPr>
              <w:t>t</w:t>
            </w:r>
          </w:p>
        </w:tc>
        <w:tc>
          <w:tcPr>
            <w:tcW w:w="801" w:type="dxa"/>
            <w:tcBorders>
              <w:top w:val="single" w:sz="4" w:space="0" w:color="auto"/>
              <w:left w:val="single" w:sz="4" w:space="0" w:color="auto"/>
              <w:bottom w:val="single" w:sz="4" w:space="0" w:color="auto"/>
              <w:right w:val="single" w:sz="4" w:space="0" w:color="auto"/>
            </w:tcBorders>
            <w:vAlign w:val="center"/>
          </w:tcPr>
          <w:p w:rsidR="00B76FDA" w:rsidRPr="00B76FDA" w:rsidRDefault="00B76FDA" w:rsidP="006112D9">
            <w:pPr>
              <w:tabs>
                <w:tab w:val="left" w:pos="720"/>
              </w:tabs>
              <w:spacing w:before="60" w:after="60"/>
              <w:jc w:val="center"/>
              <w:rPr>
                <w:sz w:val="26"/>
                <w:szCs w:val="26"/>
              </w:rPr>
            </w:pPr>
            <w:r w:rsidRPr="00B76FDA">
              <w:rPr>
                <w:sz w:val="26"/>
                <w:szCs w:val="26"/>
              </w:rPr>
              <w:t>a</w:t>
            </w:r>
            <w:r w:rsidRPr="00B76FDA">
              <w:rPr>
                <w:sz w:val="26"/>
                <w:szCs w:val="26"/>
                <w:vertAlign w:val="subscript"/>
              </w:rPr>
              <w:t>t</w:t>
            </w:r>
          </w:p>
        </w:tc>
        <w:tc>
          <w:tcPr>
            <w:tcW w:w="1278" w:type="dxa"/>
            <w:tcBorders>
              <w:top w:val="single" w:sz="4" w:space="0" w:color="auto"/>
              <w:left w:val="single" w:sz="4" w:space="0" w:color="auto"/>
              <w:bottom w:val="single" w:sz="4" w:space="0" w:color="auto"/>
              <w:right w:val="single" w:sz="4" w:space="0" w:color="auto"/>
            </w:tcBorders>
            <w:vAlign w:val="center"/>
          </w:tcPr>
          <w:p w:rsidR="00B76FDA" w:rsidRPr="00B76FDA" w:rsidRDefault="00B76FDA" w:rsidP="006112D9">
            <w:pPr>
              <w:tabs>
                <w:tab w:val="left" w:pos="720"/>
              </w:tabs>
              <w:spacing w:before="60" w:after="60"/>
              <w:jc w:val="center"/>
              <w:rPr>
                <w:sz w:val="26"/>
                <w:szCs w:val="26"/>
              </w:rPr>
            </w:pPr>
            <w:r w:rsidRPr="00B76FDA">
              <w:rPr>
                <w:sz w:val="26"/>
                <w:szCs w:val="26"/>
              </w:rPr>
              <w:t>a</w:t>
            </w:r>
            <w:r w:rsidRPr="00B76FDA">
              <w:rPr>
                <w:sz w:val="26"/>
                <w:szCs w:val="26"/>
                <w:vertAlign w:val="subscript"/>
              </w:rPr>
              <w:t xml:space="preserve">t </w:t>
            </w:r>
            <w:r w:rsidRPr="00B76FDA">
              <w:rPr>
                <w:sz w:val="26"/>
                <w:szCs w:val="26"/>
              </w:rPr>
              <w:t>x CF</w:t>
            </w:r>
            <w:r w:rsidRPr="00B76FDA">
              <w:rPr>
                <w:sz w:val="26"/>
                <w:szCs w:val="26"/>
                <w:vertAlign w:val="subscript"/>
              </w:rPr>
              <w:t>t</w:t>
            </w:r>
          </w:p>
        </w:tc>
        <w:tc>
          <w:tcPr>
            <w:tcW w:w="1321" w:type="dxa"/>
            <w:tcBorders>
              <w:top w:val="single" w:sz="4" w:space="0" w:color="auto"/>
              <w:left w:val="single" w:sz="4" w:space="0" w:color="auto"/>
              <w:bottom w:val="single" w:sz="4" w:space="0" w:color="auto"/>
              <w:right w:val="single" w:sz="4" w:space="0" w:color="auto"/>
            </w:tcBorders>
            <w:vAlign w:val="center"/>
          </w:tcPr>
          <w:p w:rsidR="00B76FDA" w:rsidRPr="00B76FDA" w:rsidRDefault="00B76FDA" w:rsidP="006112D9">
            <w:pPr>
              <w:tabs>
                <w:tab w:val="left" w:pos="720"/>
              </w:tabs>
              <w:spacing w:before="60" w:after="60"/>
              <w:jc w:val="center"/>
              <w:rPr>
                <w:sz w:val="26"/>
                <w:szCs w:val="26"/>
              </w:rPr>
            </w:pPr>
            <w:r w:rsidRPr="00B76FDA">
              <w:rPr>
                <w:sz w:val="26"/>
                <w:szCs w:val="26"/>
              </w:rPr>
              <w:t>NPV</w:t>
            </w:r>
          </w:p>
        </w:tc>
      </w:tr>
      <w:tr w:rsidR="00B76FDA" w:rsidRPr="00B76FDA" w:rsidTr="006112D9">
        <w:trPr>
          <w:trHeight w:val="161"/>
          <w:jc w:val="center"/>
        </w:trPr>
        <w:tc>
          <w:tcPr>
            <w:tcW w:w="881" w:type="dxa"/>
            <w:tcBorders>
              <w:top w:val="single" w:sz="4" w:space="0" w:color="auto"/>
            </w:tcBorders>
            <w:vAlign w:val="center"/>
          </w:tcPr>
          <w:p w:rsidR="00B76FDA" w:rsidRPr="00B76FDA" w:rsidRDefault="00B76FDA" w:rsidP="006112D9">
            <w:pPr>
              <w:spacing w:before="60" w:after="60"/>
              <w:jc w:val="center"/>
              <w:rPr>
                <w:sz w:val="26"/>
                <w:szCs w:val="26"/>
              </w:rPr>
            </w:pPr>
            <w:r w:rsidRPr="00B76FDA">
              <w:rPr>
                <w:sz w:val="26"/>
                <w:szCs w:val="26"/>
              </w:rPr>
              <w:t>0</w:t>
            </w:r>
          </w:p>
        </w:tc>
        <w:tc>
          <w:tcPr>
            <w:tcW w:w="1577" w:type="dxa"/>
            <w:tcBorders>
              <w:top w:val="single" w:sz="4" w:space="0" w:color="auto"/>
            </w:tcBorders>
            <w:vAlign w:val="center"/>
          </w:tcPr>
          <w:p w:rsidR="00B76FDA" w:rsidRPr="00B76FDA" w:rsidRDefault="00B76FDA" w:rsidP="006112D9">
            <w:pPr>
              <w:spacing w:before="60" w:after="60"/>
              <w:jc w:val="right"/>
              <w:rPr>
                <w:sz w:val="26"/>
                <w:szCs w:val="26"/>
              </w:rPr>
            </w:pPr>
            <w:r w:rsidRPr="00B76FDA">
              <w:rPr>
                <w:sz w:val="26"/>
                <w:szCs w:val="26"/>
              </w:rPr>
              <w:t>1</w:t>
            </w:r>
          </w:p>
        </w:tc>
        <w:tc>
          <w:tcPr>
            <w:tcW w:w="1321" w:type="dxa"/>
            <w:tcBorders>
              <w:top w:val="single" w:sz="4" w:space="0" w:color="auto"/>
            </w:tcBorders>
            <w:vAlign w:val="center"/>
          </w:tcPr>
          <w:p w:rsidR="00B76FDA" w:rsidRPr="00B76FDA" w:rsidRDefault="00B76FDA" w:rsidP="006112D9">
            <w:pPr>
              <w:spacing w:before="60" w:after="60"/>
              <w:jc w:val="right"/>
              <w:rPr>
                <w:sz w:val="26"/>
                <w:szCs w:val="26"/>
              </w:rPr>
            </w:pPr>
            <w:r w:rsidRPr="00B76FDA">
              <w:rPr>
                <w:sz w:val="26"/>
                <w:szCs w:val="26"/>
              </w:rPr>
              <w:t>-100.000</w:t>
            </w:r>
          </w:p>
        </w:tc>
        <w:tc>
          <w:tcPr>
            <w:tcW w:w="801" w:type="dxa"/>
            <w:tcBorders>
              <w:top w:val="single" w:sz="4" w:space="0" w:color="auto"/>
            </w:tcBorders>
            <w:vAlign w:val="center"/>
          </w:tcPr>
          <w:p w:rsidR="00B76FDA" w:rsidRPr="00B76FDA" w:rsidRDefault="00B76FDA" w:rsidP="006112D9">
            <w:pPr>
              <w:spacing w:before="60" w:after="60"/>
              <w:jc w:val="right"/>
              <w:rPr>
                <w:sz w:val="26"/>
                <w:szCs w:val="26"/>
              </w:rPr>
            </w:pPr>
            <w:r w:rsidRPr="00B76FDA">
              <w:rPr>
                <w:sz w:val="26"/>
                <w:szCs w:val="26"/>
              </w:rPr>
              <w:t>1,00</w:t>
            </w:r>
          </w:p>
        </w:tc>
        <w:tc>
          <w:tcPr>
            <w:tcW w:w="1278" w:type="dxa"/>
            <w:tcBorders>
              <w:top w:val="single" w:sz="4" w:space="0" w:color="auto"/>
            </w:tcBorders>
            <w:vAlign w:val="center"/>
          </w:tcPr>
          <w:p w:rsidR="00B76FDA" w:rsidRPr="00B76FDA" w:rsidRDefault="00B76FDA" w:rsidP="006112D9">
            <w:pPr>
              <w:spacing w:before="60" w:after="60"/>
              <w:jc w:val="right"/>
              <w:rPr>
                <w:sz w:val="26"/>
                <w:szCs w:val="26"/>
              </w:rPr>
            </w:pPr>
            <w:r w:rsidRPr="00B76FDA">
              <w:rPr>
                <w:sz w:val="26"/>
                <w:szCs w:val="26"/>
              </w:rPr>
              <w:t>-100.000</w:t>
            </w:r>
          </w:p>
        </w:tc>
        <w:tc>
          <w:tcPr>
            <w:tcW w:w="1321" w:type="dxa"/>
            <w:tcBorders>
              <w:top w:val="single" w:sz="4" w:space="0" w:color="auto"/>
            </w:tcBorders>
            <w:vAlign w:val="center"/>
          </w:tcPr>
          <w:p w:rsidR="00B76FDA" w:rsidRPr="00B76FDA" w:rsidRDefault="00B76FDA" w:rsidP="006112D9">
            <w:pPr>
              <w:spacing w:before="60" w:after="60"/>
              <w:jc w:val="right"/>
              <w:rPr>
                <w:sz w:val="26"/>
                <w:szCs w:val="26"/>
              </w:rPr>
            </w:pPr>
            <w:r w:rsidRPr="00B76FDA">
              <w:rPr>
                <w:sz w:val="26"/>
                <w:szCs w:val="26"/>
              </w:rPr>
              <w:t>-100.000</w:t>
            </w:r>
          </w:p>
        </w:tc>
      </w:tr>
      <w:tr w:rsidR="00B76FDA" w:rsidRPr="00B76FDA" w:rsidTr="006112D9">
        <w:trPr>
          <w:trHeight w:val="134"/>
          <w:jc w:val="center"/>
        </w:trPr>
        <w:tc>
          <w:tcPr>
            <w:tcW w:w="881" w:type="dxa"/>
            <w:vAlign w:val="center"/>
          </w:tcPr>
          <w:p w:rsidR="00B76FDA" w:rsidRPr="00B76FDA" w:rsidRDefault="00B76FDA" w:rsidP="006112D9">
            <w:pPr>
              <w:spacing w:before="60" w:after="60"/>
              <w:jc w:val="center"/>
              <w:rPr>
                <w:sz w:val="26"/>
                <w:szCs w:val="26"/>
              </w:rPr>
            </w:pPr>
            <w:r w:rsidRPr="00B76FDA">
              <w:rPr>
                <w:sz w:val="26"/>
                <w:szCs w:val="26"/>
              </w:rPr>
              <w:t>1</w:t>
            </w:r>
          </w:p>
        </w:tc>
        <w:tc>
          <w:tcPr>
            <w:tcW w:w="1577" w:type="dxa"/>
            <w:vAlign w:val="center"/>
          </w:tcPr>
          <w:p w:rsidR="00B76FDA" w:rsidRPr="00B76FDA" w:rsidRDefault="00B76FDA" w:rsidP="006112D9">
            <w:pPr>
              <w:spacing w:before="60" w:after="60"/>
              <w:jc w:val="right"/>
              <w:rPr>
                <w:sz w:val="26"/>
                <w:szCs w:val="26"/>
              </w:rPr>
            </w:pPr>
            <w:r w:rsidRPr="00B76FDA">
              <w:rPr>
                <w:sz w:val="26"/>
                <w:szCs w:val="26"/>
              </w:rPr>
              <w:t>0,9259</w:t>
            </w:r>
          </w:p>
        </w:tc>
        <w:tc>
          <w:tcPr>
            <w:tcW w:w="1321" w:type="dxa"/>
            <w:vAlign w:val="center"/>
          </w:tcPr>
          <w:p w:rsidR="00B76FDA" w:rsidRPr="00B76FDA" w:rsidRDefault="00B76FDA" w:rsidP="006112D9">
            <w:pPr>
              <w:spacing w:before="60" w:after="60"/>
              <w:jc w:val="right"/>
              <w:rPr>
                <w:sz w:val="26"/>
                <w:szCs w:val="26"/>
              </w:rPr>
            </w:pPr>
            <w:r w:rsidRPr="00B76FDA">
              <w:rPr>
                <w:sz w:val="26"/>
                <w:szCs w:val="26"/>
              </w:rPr>
              <w:t>50.000</w:t>
            </w:r>
          </w:p>
        </w:tc>
        <w:tc>
          <w:tcPr>
            <w:tcW w:w="801" w:type="dxa"/>
            <w:vAlign w:val="center"/>
          </w:tcPr>
          <w:p w:rsidR="00B76FDA" w:rsidRPr="00B76FDA" w:rsidRDefault="00B76FDA" w:rsidP="006112D9">
            <w:pPr>
              <w:spacing w:before="60" w:after="60"/>
              <w:jc w:val="right"/>
              <w:rPr>
                <w:sz w:val="26"/>
                <w:szCs w:val="26"/>
              </w:rPr>
            </w:pPr>
            <w:r w:rsidRPr="00B76FDA">
              <w:rPr>
                <w:sz w:val="26"/>
                <w:szCs w:val="26"/>
              </w:rPr>
              <w:t>0,90</w:t>
            </w:r>
          </w:p>
        </w:tc>
        <w:tc>
          <w:tcPr>
            <w:tcW w:w="1278" w:type="dxa"/>
            <w:vAlign w:val="center"/>
          </w:tcPr>
          <w:p w:rsidR="00B76FDA" w:rsidRPr="00B76FDA" w:rsidRDefault="00B76FDA" w:rsidP="006112D9">
            <w:pPr>
              <w:spacing w:before="60" w:after="60"/>
              <w:jc w:val="right"/>
              <w:rPr>
                <w:sz w:val="26"/>
                <w:szCs w:val="26"/>
              </w:rPr>
            </w:pPr>
            <w:r w:rsidRPr="00B76FDA">
              <w:rPr>
                <w:sz w:val="26"/>
                <w:szCs w:val="26"/>
              </w:rPr>
              <w:t>45.000</w:t>
            </w:r>
          </w:p>
        </w:tc>
        <w:tc>
          <w:tcPr>
            <w:tcW w:w="1321" w:type="dxa"/>
            <w:vAlign w:val="center"/>
          </w:tcPr>
          <w:p w:rsidR="00B76FDA" w:rsidRPr="00B76FDA" w:rsidRDefault="00B76FDA" w:rsidP="006112D9">
            <w:pPr>
              <w:spacing w:before="60" w:after="60"/>
              <w:jc w:val="right"/>
              <w:rPr>
                <w:sz w:val="26"/>
                <w:szCs w:val="26"/>
              </w:rPr>
            </w:pPr>
            <w:r w:rsidRPr="00B76FDA">
              <w:rPr>
                <w:sz w:val="26"/>
                <w:szCs w:val="26"/>
              </w:rPr>
              <w:t>41666,67</w:t>
            </w:r>
          </w:p>
        </w:tc>
      </w:tr>
      <w:tr w:rsidR="00B76FDA" w:rsidRPr="00B76FDA" w:rsidTr="006112D9">
        <w:trPr>
          <w:trHeight w:val="64"/>
          <w:jc w:val="center"/>
        </w:trPr>
        <w:tc>
          <w:tcPr>
            <w:tcW w:w="881" w:type="dxa"/>
            <w:vAlign w:val="center"/>
          </w:tcPr>
          <w:p w:rsidR="00B76FDA" w:rsidRPr="00B76FDA" w:rsidRDefault="00B76FDA" w:rsidP="006112D9">
            <w:pPr>
              <w:spacing w:before="60" w:after="60"/>
              <w:jc w:val="center"/>
              <w:rPr>
                <w:sz w:val="26"/>
                <w:szCs w:val="26"/>
              </w:rPr>
            </w:pPr>
            <w:r w:rsidRPr="00B76FDA">
              <w:rPr>
                <w:sz w:val="26"/>
                <w:szCs w:val="26"/>
              </w:rPr>
              <w:t>2</w:t>
            </w:r>
          </w:p>
        </w:tc>
        <w:tc>
          <w:tcPr>
            <w:tcW w:w="1577" w:type="dxa"/>
            <w:vAlign w:val="center"/>
          </w:tcPr>
          <w:p w:rsidR="00B76FDA" w:rsidRPr="00B76FDA" w:rsidRDefault="00B76FDA" w:rsidP="006112D9">
            <w:pPr>
              <w:spacing w:before="60" w:after="60"/>
              <w:jc w:val="right"/>
              <w:rPr>
                <w:sz w:val="26"/>
                <w:szCs w:val="26"/>
              </w:rPr>
            </w:pPr>
            <w:r w:rsidRPr="00B76FDA">
              <w:rPr>
                <w:sz w:val="26"/>
                <w:szCs w:val="26"/>
              </w:rPr>
              <w:t>0,8573</w:t>
            </w:r>
          </w:p>
        </w:tc>
        <w:tc>
          <w:tcPr>
            <w:tcW w:w="1321" w:type="dxa"/>
            <w:vAlign w:val="center"/>
          </w:tcPr>
          <w:p w:rsidR="00B76FDA" w:rsidRPr="00B76FDA" w:rsidRDefault="00B76FDA" w:rsidP="006112D9">
            <w:pPr>
              <w:spacing w:before="60" w:after="60"/>
              <w:jc w:val="right"/>
              <w:rPr>
                <w:sz w:val="26"/>
                <w:szCs w:val="26"/>
              </w:rPr>
            </w:pPr>
            <w:r w:rsidRPr="00B76FDA">
              <w:rPr>
                <w:sz w:val="26"/>
                <w:szCs w:val="26"/>
              </w:rPr>
              <w:t>60.000</w:t>
            </w:r>
          </w:p>
        </w:tc>
        <w:tc>
          <w:tcPr>
            <w:tcW w:w="801" w:type="dxa"/>
            <w:vAlign w:val="center"/>
          </w:tcPr>
          <w:p w:rsidR="00B76FDA" w:rsidRPr="00B76FDA" w:rsidRDefault="00B76FDA" w:rsidP="006112D9">
            <w:pPr>
              <w:spacing w:before="60" w:after="60"/>
              <w:jc w:val="right"/>
              <w:rPr>
                <w:sz w:val="26"/>
                <w:szCs w:val="26"/>
              </w:rPr>
            </w:pPr>
            <w:r w:rsidRPr="00B76FDA">
              <w:rPr>
                <w:sz w:val="26"/>
                <w:szCs w:val="26"/>
              </w:rPr>
              <w:t>0,85</w:t>
            </w:r>
          </w:p>
        </w:tc>
        <w:tc>
          <w:tcPr>
            <w:tcW w:w="1278" w:type="dxa"/>
            <w:vAlign w:val="center"/>
          </w:tcPr>
          <w:p w:rsidR="00B76FDA" w:rsidRPr="00B76FDA" w:rsidRDefault="00B76FDA" w:rsidP="006112D9">
            <w:pPr>
              <w:spacing w:before="60" w:after="60"/>
              <w:jc w:val="right"/>
              <w:rPr>
                <w:sz w:val="26"/>
                <w:szCs w:val="26"/>
              </w:rPr>
            </w:pPr>
            <w:r w:rsidRPr="00B76FDA">
              <w:rPr>
                <w:sz w:val="26"/>
                <w:szCs w:val="26"/>
              </w:rPr>
              <w:t>51.000</w:t>
            </w:r>
          </w:p>
        </w:tc>
        <w:tc>
          <w:tcPr>
            <w:tcW w:w="1321" w:type="dxa"/>
            <w:vAlign w:val="center"/>
          </w:tcPr>
          <w:p w:rsidR="00B76FDA" w:rsidRPr="00B76FDA" w:rsidRDefault="00B76FDA" w:rsidP="006112D9">
            <w:pPr>
              <w:spacing w:before="60" w:after="60"/>
              <w:jc w:val="right"/>
              <w:rPr>
                <w:sz w:val="26"/>
                <w:szCs w:val="26"/>
              </w:rPr>
            </w:pPr>
            <w:r w:rsidRPr="00B76FDA">
              <w:rPr>
                <w:sz w:val="26"/>
                <w:szCs w:val="26"/>
              </w:rPr>
              <w:t>43724,28</w:t>
            </w:r>
          </w:p>
        </w:tc>
      </w:tr>
      <w:tr w:rsidR="00B76FDA" w:rsidRPr="00B76FDA" w:rsidTr="006112D9">
        <w:trPr>
          <w:trHeight w:val="287"/>
          <w:jc w:val="center"/>
        </w:trPr>
        <w:tc>
          <w:tcPr>
            <w:tcW w:w="881" w:type="dxa"/>
            <w:vAlign w:val="center"/>
          </w:tcPr>
          <w:p w:rsidR="00B76FDA" w:rsidRPr="00B76FDA" w:rsidRDefault="00B76FDA" w:rsidP="006112D9">
            <w:pPr>
              <w:spacing w:before="60" w:after="60"/>
              <w:jc w:val="center"/>
              <w:rPr>
                <w:sz w:val="26"/>
                <w:szCs w:val="26"/>
              </w:rPr>
            </w:pPr>
            <w:r w:rsidRPr="00B76FDA">
              <w:rPr>
                <w:sz w:val="26"/>
                <w:szCs w:val="26"/>
              </w:rPr>
              <w:t>3</w:t>
            </w:r>
          </w:p>
        </w:tc>
        <w:tc>
          <w:tcPr>
            <w:tcW w:w="1577" w:type="dxa"/>
            <w:vAlign w:val="center"/>
          </w:tcPr>
          <w:p w:rsidR="00B76FDA" w:rsidRPr="00B76FDA" w:rsidRDefault="00B76FDA" w:rsidP="006112D9">
            <w:pPr>
              <w:spacing w:before="60" w:after="60"/>
              <w:jc w:val="right"/>
              <w:rPr>
                <w:sz w:val="26"/>
                <w:szCs w:val="26"/>
              </w:rPr>
            </w:pPr>
            <w:r w:rsidRPr="00B76FDA">
              <w:rPr>
                <w:sz w:val="26"/>
                <w:szCs w:val="26"/>
              </w:rPr>
              <w:t>0,7938</w:t>
            </w:r>
          </w:p>
        </w:tc>
        <w:tc>
          <w:tcPr>
            <w:tcW w:w="1321" w:type="dxa"/>
            <w:vAlign w:val="center"/>
          </w:tcPr>
          <w:p w:rsidR="00B76FDA" w:rsidRPr="00B76FDA" w:rsidRDefault="00B76FDA" w:rsidP="006112D9">
            <w:pPr>
              <w:spacing w:before="60" w:after="60"/>
              <w:jc w:val="right"/>
              <w:rPr>
                <w:sz w:val="26"/>
                <w:szCs w:val="26"/>
              </w:rPr>
            </w:pPr>
            <w:r w:rsidRPr="00B76FDA">
              <w:rPr>
                <w:sz w:val="26"/>
                <w:szCs w:val="26"/>
              </w:rPr>
              <w:t>40.000</w:t>
            </w:r>
          </w:p>
        </w:tc>
        <w:tc>
          <w:tcPr>
            <w:tcW w:w="801" w:type="dxa"/>
            <w:vAlign w:val="center"/>
          </w:tcPr>
          <w:p w:rsidR="00B76FDA" w:rsidRPr="00B76FDA" w:rsidRDefault="00B76FDA" w:rsidP="006112D9">
            <w:pPr>
              <w:spacing w:before="60" w:after="60"/>
              <w:jc w:val="right"/>
              <w:rPr>
                <w:sz w:val="26"/>
                <w:szCs w:val="26"/>
              </w:rPr>
            </w:pPr>
            <w:r w:rsidRPr="00B76FDA">
              <w:rPr>
                <w:sz w:val="26"/>
                <w:szCs w:val="26"/>
              </w:rPr>
              <w:t>0,60</w:t>
            </w:r>
          </w:p>
        </w:tc>
        <w:tc>
          <w:tcPr>
            <w:tcW w:w="1278" w:type="dxa"/>
            <w:vAlign w:val="center"/>
          </w:tcPr>
          <w:p w:rsidR="00B76FDA" w:rsidRPr="00B76FDA" w:rsidRDefault="00B76FDA" w:rsidP="006112D9">
            <w:pPr>
              <w:spacing w:before="60" w:after="60"/>
              <w:jc w:val="right"/>
              <w:rPr>
                <w:sz w:val="26"/>
                <w:szCs w:val="26"/>
              </w:rPr>
            </w:pPr>
            <w:r w:rsidRPr="00B76FDA">
              <w:rPr>
                <w:sz w:val="26"/>
                <w:szCs w:val="26"/>
              </w:rPr>
              <w:t>24.000</w:t>
            </w:r>
          </w:p>
        </w:tc>
        <w:tc>
          <w:tcPr>
            <w:tcW w:w="1321" w:type="dxa"/>
            <w:vAlign w:val="center"/>
          </w:tcPr>
          <w:p w:rsidR="00B76FDA" w:rsidRPr="00B76FDA" w:rsidRDefault="00B76FDA" w:rsidP="006112D9">
            <w:pPr>
              <w:spacing w:before="60" w:after="60"/>
              <w:jc w:val="right"/>
              <w:rPr>
                <w:sz w:val="26"/>
                <w:szCs w:val="26"/>
              </w:rPr>
            </w:pPr>
            <w:r w:rsidRPr="00B76FDA">
              <w:rPr>
                <w:sz w:val="26"/>
                <w:szCs w:val="26"/>
              </w:rPr>
              <w:t>19051,97</w:t>
            </w:r>
          </w:p>
        </w:tc>
      </w:tr>
      <w:tr w:rsidR="00B76FDA" w:rsidRPr="00B76FDA" w:rsidTr="006112D9">
        <w:trPr>
          <w:trHeight w:val="188"/>
          <w:jc w:val="center"/>
        </w:trPr>
        <w:tc>
          <w:tcPr>
            <w:tcW w:w="881" w:type="dxa"/>
            <w:vAlign w:val="center"/>
          </w:tcPr>
          <w:p w:rsidR="00B76FDA" w:rsidRPr="00B76FDA" w:rsidRDefault="00B76FDA" w:rsidP="006112D9">
            <w:pPr>
              <w:spacing w:before="60" w:after="60"/>
              <w:rPr>
                <w:sz w:val="26"/>
                <w:szCs w:val="26"/>
              </w:rPr>
            </w:pPr>
            <w:r w:rsidRPr="00B76FDA">
              <w:rPr>
                <w:sz w:val="26"/>
                <w:szCs w:val="26"/>
              </w:rPr>
              <w:t>NPV</w:t>
            </w:r>
          </w:p>
        </w:tc>
        <w:tc>
          <w:tcPr>
            <w:tcW w:w="1577" w:type="dxa"/>
            <w:vAlign w:val="center"/>
          </w:tcPr>
          <w:p w:rsidR="00B76FDA" w:rsidRPr="00B76FDA" w:rsidRDefault="00B76FDA" w:rsidP="006112D9">
            <w:pPr>
              <w:spacing w:before="60" w:after="60"/>
              <w:rPr>
                <w:sz w:val="26"/>
                <w:szCs w:val="26"/>
              </w:rPr>
            </w:pPr>
          </w:p>
        </w:tc>
        <w:tc>
          <w:tcPr>
            <w:tcW w:w="1321" w:type="dxa"/>
            <w:vAlign w:val="center"/>
          </w:tcPr>
          <w:p w:rsidR="00B76FDA" w:rsidRPr="00B76FDA" w:rsidRDefault="00B76FDA" w:rsidP="006112D9">
            <w:pPr>
              <w:spacing w:before="60" w:after="60"/>
              <w:jc w:val="right"/>
              <w:rPr>
                <w:sz w:val="26"/>
                <w:szCs w:val="26"/>
              </w:rPr>
            </w:pPr>
            <w:r w:rsidRPr="00B76FDA">
              <w:rPr>
                <w:sz w:val="26"/>
                <w:szCs w:val="26"/>
              </w:rPr>
              <w:t>29489,29</w:t>
            </w:r>
          </w:p>
        </w:tc>
        <w:tc>
          <w:tcPr>
            <w:tcW w:w="801" w:type="dxa"/>
            <w:vAlign w:val="center"/>
          </w:tcPr>
          <w:p w:rsidR="00B76FDA" w:rsidRPr="00B76FDA" w:rsidRDefault="00B76FDA" w:rsidP="006112D9">
            <w:pPr>
              <w:spacing w:before="60" w:after="60"/>
              <w:jc w:val="right"/>
              <w:rPr>
                <w:sz w:val="26"/>
                <w:szCs w:val="26"/>
              </w:rPr>
            </w:pPr>
          </w:p>
        </w:tc>
        <w:tc>
          <w:tcPr>
            <w:tcW w:w="1278" w:type="dxa"/>
            <w:vAlign w:val="center"/>
          </w:tcPr>
          <w:p w:rsidR="00B76FDA" w:rsidRPr="00B76FDA" w:rsidRDefault="00B76FDA" w:rsidP="006112D9">
            <w:pPr>
              <w:spacing w:before="60" w:after="60"/>
              <w:jc w:val="right"/>
              <w:rPr>
                <w:sz w:val="26"/>
                <w:szCs w:val="26"/>
              </w:rPr>
            </w:pPr>
          </w:p>
        </w:tc>
        <w:tc>
          <w:tcPr>
            <w:tcW w:w="1321" w:type="dxa"/>
            <w:vAlign w:val="center"/>
          </w:tcPr>
          <w:p w:rsidR="00B76FDA" w:rsidRPr="00B76FDA" w:rsidRDefault="00B76FDA" w:rsidP="006112D9">
            <w:pPr>
              <w:spacing w:before="60" w:after="60"/>
              <w:jc w:val="right"/>
              <w:rPr>
                <w:sz w:val="26"/>
                <w:szCs w:val="26"/>
              </w:rPr>
            </w:pPr>
            <w:r w:rsidRPr="00B76FDA">
              <w:rPr>
                <w:sz w:val="26"/>
                <w:szCs w:val="26"/>
              </w:rPr>
              <w:t>4442,92</w:t>
            </w:r>
          </w:p>
        </w:tc>
      </w:tr>
    </w:tbl>
    <w:p w:rsidR="00B76FDA" w:rsidRPr="00B76FDA" w:rsidRDefault="00B76FDA" w:rsidP="00B76FDA">
      <w:pPr>
        <w:shd w:val="clear" w:color="auto" w:fill="FFFFFF"/>
        <w:spacing w:before="60" w:after="60" w:line="288" w:lineRule="auto"/>
        <w:jc w:val="both"/>
        <w:rPr>
          <w:color w:val="222222"/>
          <w:sz w:val="26"/>
          <w:szCs w:val="26"/>
        </w:rPr>
      </w:pPr>
      <w:r w:rsidRPr="00B76FDA">
        <w:rPr>
          <w:i/>
          <w:sz w:val="26"/>
          <w:szCs w:val="26"/>
        </w:rPr>
        <w:tab/>
      </w:r>
      <w:r w:rsidRPr="00B76FDA">
        <w:rPr>
          <w:sz w:val="26"/>
          <w:szCs w:val="26"/>
        </w:rPr>
        <w:t>Như kết quả ở bảng 1 cho thấy, NPV của luồng thu nhập ròng có tính đến rủi        ro là 4442,92;  nhỏ hơn so với NPV bình thường là 29489,29</w:t>
      </w:r>
    </w:p>
    <w:p w:rsidR="00B76FDA" w:rsidRPr="00B76FDA" w:rsidRDefault="00B76FDA" w:rsidP="00B76FDA">
      <w:pPr>
        <w:spacing w:before="60" w:after="60" w:line="288" w:lineRule="auto"/>
        <w:ind w:firstLine="540"/>
        <w:jc w:val="both"/>
        <w:rPr>
          <w:sz w:val="26"/>
          <w:szCs w:val="26"/>
        </w:rPr>
      </w:pPr>
      <w:r w:rsidRPr="00B76FDA">
        <w:rPr>
          <w:sz w:val="26"/>
          <w:szCs w:val="26"/>
          <w:u w:val="single"/>
        </w:rPr>
        <w:t>Ưu, nhược điểm</w:t>
      </w:r>
      <w:r w:rsidRPr="00B76FDA">
        <w:rPr>
          <w:sz w:val="26"/>
          <w:szCs w:val="26"/>
        </w:rPr>
        <w:t>:</w:t>
      </w:r>
    </w:p>
    <w:p w:rsidR="00B76FDA" w:rsidRPr="00B76FDA" w:rsidRDefault="00B76FDA" w:rsidP="00B76FDA">
      <w:pPr>
        <w:numPr>
          <w:ilvl w:val="0"/>
          <w:numId w:val="1"/>
        </w:numPr>
        <w:tabs>
          <w:tab w:val="left" w:pos="720"/>
        </w:tabs>
        <w:spacing w:before="60" w:after="60" w:line="288" w:lineRule="auto"/>
        <w:jc w:val="both"/>
        <w:rPr>
          <w:sz w:val="26"/>
          <w:szCs w:val="26"/>
        </w:rPr>
      </w:pPr>
      <w:r w:rsidRPr="00B76FDA">
        <w:rPr>
          <w:i/>
          <w:sz w:val="26"/>
          <w:szCs w:val="26"/>
        </w:rPr>
        <w:t>Ưu điểm</w:t>
      </w:r>
      <w:r w:rsidRPr="00B76FDA">
        <w:rPr>
          <w:sz w:val="26"/>
          <w:szCs w:val="26"/>
        </w:rPr>
        <w:t>: dễ thấy rằng, khác với phương pháp điều chỉnh tỷ lệ chiết khấu, phương pháp này không kiến nghị tăng rủi ro theo một hệ số không đổi, mà vẫn giữ được tính đơn giản trong tính toán, dễ tiếp cận và không phức tạp. Do đó, nó cho phép tính đến rủi ro một cách hợp lý hơ</w:t>
      </w:r>
      <w:bookmarkStart w:id="0" w:name="_GoBack"/>
      <w:bookmarkEnd w:id="0"/>
      <w:r w:rsidRPr="00B76FDA">
        <w:rPr>
          <w:sz w:val="26"/>
          <w:szCs w:val="26"/>
        </w:rPr>
        <w:t xml:space="preserve">n. </w:t>
      </w:r>
    </w:p>
    <w:p w:rsidR="00B76FDA" w:rsidRPr="00B76FDA" w:rsidRDefault="00B76FDA" w:rsidP="00B76FDA">
      <w:pPr>
        <w:numPr>
          <w:ilvl w:val="0"/>
          <w:numId w:val="1"/>
        </w:numPr>
        <w:tabs>
          <w:tab w:val="left" w:pos="720"/>
        </w:tabs>
        <w:spacing w:before="60" w:after="60" w:line="288" w:lineRule="auto"/>
        <w:jc w:val="both"/>
        <w:rPr>
          <w:sz w:val="26"/>
          <w:szCs w:val="26"/>
        </w:rPr>
      </w:pPr>
      <w:r w:rsidRPr="00B76FDA">
        <w:rPr>
          <w:i/>
          <w:sz w:val="26"/>
          <w:szCs w:val="26"/>
        </w:rPr>
        <w:t>Nhược điểm</w:t>
      </w:r>
      <w:r w:rsidRPr="00B76FDA">
        <w:rPr>
          <w:sz w:val="26"/>
          <w:szCs w:val="26"/>
        </w:rPr>
        <w:t>: việc xác định các hệ số tinh cậy a</w:t>
      </w:r>
      <w:r w:rsidRPr="00B76FDA">
        <w:rPr>
          <w:sz w:val="26"/>
          <w:szCs w:val="26"/>
          <w:vertAlign w:val="subscript"/>
        </w:rPr>
        <w:t>t</w:t>
      </w:r>
      <w:r w:rsidRPr="00B76FDA">
        <w:rPr>
          <w:sz w:val="26"/>
          <w:szCs w:val="26"/>
        </w:rPr>
        <w:t xml:space="preserve"> tương ứng với mức rủi ro trong mỗi giai đoạn thực hiện dự án đưa đến một số khó khăn nhất định. Hơn nữa, phương pháp này cũng không cho phép thực hiện phân tích phân phối xác suất của các tham số chủ chốt.</w:t>
      </w:r>
    </w:p>
    <w:p w:rsidR="00262163" w:rsidRPr="00B76FDA" w:rsidRDefault="00B76FDA" w:rsidP="00B76FDA">
      <w:pPr>
        <w:jc w:val="right"/>
        <w:rPr>
          <w:b/>
          <w:i/>
          <w:sz w:val="26"/>
          <w:szCs w:val="26"/>
        </w:rPr>
      </w:pPr>
      <w:r w:rsidRPr="00B76FDA">
        <w:rPr>
          <w:b/>
          <w:i/>
          <w:sz w:val="26"/>
          <w:szCs w:val="26"/>
        </w:rPr>
        <w:t>Mai Xuân Bình – Khoa QTKD</w:t>
      </w:r>
    </w:p>
    <w:sectPr w:rsidR="00262163" w:rsidRPr="00B76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930C0"/>
    <w:multiLevelType w:val="hybridMultilevel"/>
    <w:tmpl w:val="F6A24E0C"/>
    <w:lvl w:ilvl="0" w:tplc="22E866F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FDA"/>
    <w:rsid w:val="00262163"/>
    <w:rsid w:val="00B7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F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6FDA"/>
    <w:rPr>
      <w:rFonts w:ascii="Tahoma" w:hAnsi="Tahoma" w:cs="Tahoma"/>
      <w:sz w:val="16"/>
      <w:szCs w:val="16"/>
    </w:rPr>
  </w:style>
  <w:style w:type="character" w:customStyle="1" w:styleId="BalloonTextChar">
    <w:name w:val="Balloon Text Char"/>
    <w:basedOn w:val="DefaultParagraphFont"/>
    <w:link w:val="BalloonText"/>
    <w:uiPriority w:val="99"/>
    <w:semiHidden/>
    <w:rsid w:val="00B76FD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F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6FDA"/>
    <w:rPr>
      <w:rFonts w:ascii="Tahoma" w:hAnsi="Tahoma" w:cs="Tahoma"/>
      <w:sz w:val="16"/>
      <w:szCs w:val="16"/>
    </w:rPr>
  </w:style>
  <w:style w:type="character" w:customStyle="1" w:styleId="BalloonTextChar">
    <w:name w:val="Balloon Text Char"/>
    <w:basedOn w:val="DefaultParagraphFont"/>
    <w:link w:val="BalloonText"/>
    <w:uiPriority w:val="99"/>
    <w:semiHidden/>
    <w:rsid w:val="00B76FD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2014-12-17T10:13:00Z</dcterms:created>
  <dcterms:modified xsi:type="dcterms:W3CDTF">2014-12-17T10:16:00Z</dcterms:modified>
</cp:coreProperties>
</file>