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31" w:rsidRPr="00777331" w:rsidRDefault="00777331" w:rsidP="00777331">
      <w:pPr>
        <w:spacing w:after="0" w:line="360" w:lineRule="auto"/>
        <w:ind w:firstLine="540"/>
        <w:jc w:val="center"/>
        <w:outlineLvl w:val="0"/>
        <w:rPr>
          <w:rFonts w:ascii="Tahoma" w:hAnsi="Tahoma" w:cs="Tahoma"/>
          <w:b/>
          <w:sz w:val="26"/>
          <w:szCs w:val="26"/>
          <w:lang w:val="de-DE"/>
        </w:rPr>
      </w:pPr>
      <w:r w:rsidRPr="00777331">
        <w:rPr>
          <w:rFonts w:ascii="Tahoma" w:hAnsi="Tahoma" w:cs="Tahoma"/>
          <w:b/>
          <w:sz w:val="26"/>
          <w:szCs w:val="26"/>
          <w:lang w:val="de-DE"/>
        </w:rPr>
        <w:t>MÔ HÌNH QUYỀN LỰC TRONG TỔ CHỨC</w:t>
      </w:r>
    </w:p>
    <w:p w:rsidR="00777331" w:rsidRPr="00777331" w:rsidRDefault="00777331" w:rsidP="00777331">
      <w:pPr>
        <w:spacing w:after="0" w:line="360" w:lineRule="auto"/>
        <w:ind w:firstLine="540"/>
        <w:jc w:val="both"/>
        <w:outlineLvl w:val="0"/>
        <w:rPr>
          <w:rFonts w:ascii="Tahoma" w:hAnsi="Tahoma" w:cs="Tahoma"/>
          <w:sz w:val="20"/>
          <w:szCs w:val="20"/>
          <w:lang w:val="de-DE"/>
        </w:rPr>
      </w:pPr>
      <w:r w:rsidRPr="00777331">
        <w:rPr>
          <w:rFonts w:ascii="Tahoma" w:hAnsi="Tahoma" w:cs="Tahoma"/>
          <w:sz w:val="20"/>
          <w:szCs w:val="20"/>
          <w:lang w:val="de-DE"/>
        </w:rPr>
        <w:t>Quyền lực được hình thành không chỉ là dựa trên sự phụ thuộc của người khác mà còn dựa trên yếu tố tạo nên quyền lực. Quyền lực được xây dựng dựa trên các yếu tố nào.</w:t>
      </w:r>
    </w:p>
    <w:p w:rsidR="00777331" w:rsidRPr="00777331" w:rsidRDefault="00777331" w:rsidP="00777331">
      <w:pPr>
        <w:spacing w:after="0" w:line="360" w:lineRule="auto"/>
        <w:ind w:firstLine="540"/>
        <w:jc w:val="both"/>
        <w:outlineLvl w:val="0"/>
        <w:rPr>
          <w:rFonts w:ascii="Tahoma" w:hAnsi="Tahoma" w:cs="Tahoma"/>
          <w:i/>
          <w:iCs/>
          <w:sz w:val="20"/>
          <w:szCs w:val="20"/>
          <w:lang w:val="de-DE"/>
        </w:rPr>
      </w:pPr>
      <w:r w:rsidRPr="00777331">
        <w:rPr>
          <w:rFonts w:ascii="Tahoma" w:hAnsi="Tahoma" w:cs="Tahoma"/>
          <w:i/>
          <w:iCs/>
          <w:sz w:val="20"/>
          <w:szCs w:val="20"/>
          <w:lang w:val="de-DE"/>
        </w:rPr>
        <w:t>Các yếu tố tạo nên quyền lực</w:t>
      </w:r>
    </w:p>
    <w:p w:rsidR="00777331" w:rsidRPr="00777331" w:rsidRDefault="00777331" w:rsidP="00777331">
      <w:pPr>
        <w:spacing w:after="0" w:line="360" w:lineRule="auto"/>
        <w:ind w:firstLine="540"/>
        <w:jc w:val="both"/>
        <w:outlineLvl w:val="0"/>
        <w:rPr>
          <w:rFonts w:ascii="Tahoma" w:hAnsi="Tahoma" w:cs="Tahoma"/>
          <w:sz w:val="20"/>
          <w:szCs w:val="20"/>
          <w:lang w:val="de-DE"/>
        </w:rPr>
      </w:pPr>
      <w:r w:rsidRPr="00777331">
        <w:rPr>
          <w:rFonts w:ascii="Tahoma" w:hAnsi="Tahoma" w:cs="Tahoma"/>
          <w:i/>
          <w:sz w:val="20"/>
          <w:szCs w:val="20"/>
          <w:lang w:val="de-DE"/>
        </w:rPr>
        <w:t xml:space="preserve">- </w:t>
      </w:r>
      <w:r w:rsidRPr="00777331">
        <w:rPr>
          <w:rFonts w:ascii="Tahoma" w:hAnsi="Tahoma" w:cs="Tahoma"/>
          <w:bCs/>
          <w:i/>
          <w:sz w:val="20"/>
          <w:szCs w:val="20"/>
          <w:lang w:val="de-DE"/>
        </w:rPr>
        <w:t>Quyền ép buộc</w:t>
      </w:r>
      <w:r w:rsidRPr="00777331">
        <w:rPr>
          <w:rFonts w:ascii="Tahoma" w:hAnsi="Tahoma" w:cs="Tahoma"/>
          <w:b/>
          <w:bCs/>
          <w:sz w:val="20"/>
          <w:szCs w:val="20"/>
          <w:lang w:val="de-DE"/>
        </w:rPr>
        <w:t xml:space="preserve"> </w:t>
      </w:r>
      <w:r w:rsidRPr="00777331">
        <w:rPr>
          <w:rFonts w:ascii="Tahoma" w:hAnsi="Tahoma" w:cs="Tahoma"/>
          <w:sz w:val="20"/>
          <w:szCs w:val="20"/>
          <w:lang w:val="de-DE"/>
        </w:rPr>
        <w:t>dựa trên sự lo sợ. Ví dụ, khi người A có quyền sa thải, giáng chức người B thì người A có quyền ép buộc.</w:t>
      </w:r>
    </w:p>
    <w:p w:rsidR="00777331" w:rsidRPr="00777331" w:rsidRDefault="00777331" w:rsidP="00777331">
      <w:pPr>
        <w:spacing w:after="0" w:line="360" w:lineRule="auto"/>
        <w:ind w:firstLine="540"/>
        <w:jc w:val="both"/>
        <w:outlineLvl w:val="0"/>
        <w:rPr>
          <w:rFonts w:ascii="Tahoma" w:hAnsi="Tahoma" w:cs="Tahoma"/>
          <w:sz w:val="20"/>
          <w:szCs w:val="20"/>
          <w:lang w:val="de-DE"/>
        </w:rPr>
      </w:pPr>
      <w:r w:rsidRPr="00777331">
        <w:rPr>
          <w:rFonts w:ascii="Tahoma" w:hAnsi="Tahoma" w:cs="Tahoma"/>
          <w:i/>
          <w:sz w:val="20"/>
          <w:szCs w:val="20"/>
          <w:lang w:val="de-DE"/>
        </w:rPr>
        <w:t xml:space="preserve">- </w:t>
      </w:r>
      <w:r w:rsidRPr="00777331">
        <w:rPr>
          <w:rFonts w:ascii="Tahoma" w:hAnsi="Tahoma" w:cs="Tahoma"/>
          <w:bCs/>
          <w:i/>
          <w:sz w:val="20"/>
          <w:szCs w:val="20"/>
          <w:lang w:val="de-DE"/>
        </w:rPr>
        <w:t>Quyền khen thưởng</w:t>
      </w:r>
      <w:r w:rsidRPr="00777331">
        <w:rPr>
          <w:rFonts w:ascii="Tahoma" w:hAnsi="Tahoma" w:cs="Tahoma"/>
          <w:b/>
          <w:bCs/>
          <w:sz w:val="20"/>
          <w:szCs w:val="20"/>
          <w:lang w:val="de-DE"/>
        </w:rPr>
        <w:t xml:space="preserve"> </w:t>
      </w:r>
      <w:r w:rsidRPr="00777331">
        <w:rPr>
          <w:rFonts w:ascii="Tahoma" w:hAnsi="Tahoma" w:cs="Tahoma"/>
          <w:sz w:val="20"/>
          <w:szCs w:val="20"/>
          <w:lang w:val="de-DE"/>
        </w:rPr>
        <w:t>liên quan đến khả năng phân chia phần thưởng mà những người khác thấy có giá trị. Ví dụ, người được coi là có quyền khen thưởng khi họ có thể quyết định những hình thức khen thưởng trong tổ chức bằng tiền hay các dạng vật chất khác, đánh giá kết quả công việc, thăng tiến, thông tin quan trọng…</w:t>
      </w:r>
    </w:p>
    <w:p w:rsidR="00777331" w:rsidRPr="00777331" w:rsidRDefault="00777331" w:rsidP="00777331">
      <w:pPr>
        <w:spacing w:after="0" w:line="360" w:lineRule="auto"/>
        <w:ind w:firstLine="540"/>
        <w:jc w:val="both"/>
        <w:outlineLvl w:val="0"/>
        <w:rPr>
          <w:rFonts w:ascii="Tahoma" w:hAnsi="Tahoma" w:cs="Tahoma"/>
          <w:sz w:val="20"/>
          <w:szCs w:val="20"/>
          <w:lang w:val="de-DE"/>
        </w:rPr>
      </w:pPr>
      <w:r w:rsidRPr="00777331">
        <w:rPr>
          <w:rFonts w:ascii="Tahoma" w:hAnsi="Tahoma" w:cs="Tahoma"/>
          <w:i/>
          <w:sz w:val="20"/>
          <w:szCs w:val="20"/>
          <w:lang w:val="de-DE"/>
        </w:rPr>
        <w:t xml:space="preserve">- </w:t>
      </w:r>
      <w:r w:rsidRPr="00777331">
        <w:rPr>
          <w:rFonts w:ascii="Tahoma" w:hAnsi="Tahoma" w:cs="Tahoma"/>
          <w:bCs/>
          <w:i/>
          <w:sz w:val="20"/>
          <w:szCs w:val="20"/>
          <w:lang w:val="de-DE"/>
        </w:rPr>
        <w:t>Quyền lực hợp pháp</w:t>
      </w:r>
      <w:r w:rsidRPr="00777331">
        <w:rPr>
          <w:rFonts w:ascii="Tahoma" w:hAnsi="Tahoma" w:cs="Tahoma"/>
          <w:b/>
          <w:bCs/>
          <w:sz w:val="20"/>
          <w:szCs w:val="20"/>
          <w:lang w:val="de-DE"/>
        </w:rPr>
        <w:t xml:space="preserve"> </w:t>
      </w:r>
      <w:r w:rsidRPr="00777331">
        <w:rPr>
          <w:rFonts w:ascii="Tahoma" w:hAnsi="Tahoma" w:cs="Tahoma"/>
          <w:sz w:val="20"/>
          <w:szCs w:val="20"/>
          <w:lang w:val="de-DE"/>
        </w:rPr>
        <w:t>được trao cho một người khi họ nắm giữ vị trí nào đó trong tổ chức. Quyền lực này bao gồm quyền ép buộc và quyền khen thưởng.</w:t>
      </w:r>
    </w:p>
    <w:p w:rsidR="00777331" w:rsidRPr="00777331" w:rsidRDefault="00777331" w:rsidP="00777331">
      <w:pPr>
        <w:spacing w:after="0" w:line="360" w:lineRule="auto"/>
        <w:ind w:firstLine="540"/>
        <w:jc w:val="both"/>
        <w:outlineLvl w:val="0"/>
        <w:rPr>
          <w:rFonts w:ascii="Tahoma" w:hAnsi="Tahoma" w:cs="Tahoma"/>
          <w:sz w:val="20"/>
          <w:szCs w:val="20"/>
          <w:lang w:val="de-DE"/>
        </w:rPr>
      </w:pPr>
      <w:r w:rsidRPr="00777331">
        <w:rPr>
          <w:rFonts w:ascii="Tahoma" w:hAnsi="Tahoma" w:cs="Tahoma"/>
          <w:sz w:val="20"/>
          <w:szCs w:val="20"/>
          <w:lang w:val="de-DE"/>
        </w:rPr>
        <w:t xml:space="preserve">- </w:t>
      </w:r>
      <w:r w:rsidRPr="00777331">
        <w:rPr>
          <w:rFonts w:ascii="Tahoma" w:hAnsi="Tahoma" w:cs="Tahoma"/>
          <w:bCs/>
          <w:i/>
          <w:sz w:val="20"/>
          <w:szCs w:val="20"/>
          <w:lang w:val="de-DE"/>
        </w:rPr>
        <w:t>Quyền lực chuyên gia</w:t>
      </w:r>
      <w:r w:rsidRPr="00777331">
        <w:rPr>
          <w:rFonts w:ascii="Tahoma" w:hAnsi="Tahoma" w:cs="Tahoma"/>
          <w:b/>
          <w:bCs/>
          <w:sz w:val="20"/>
          <w:szCs w:val="20"/>
          <w:lang w:val="de-DE"/>
        </w:rPr>
        <w:t xml:space="preserve"> </w:t>
      </w:r>
      <w:r w:rsidRPr="00777331">
        <w:rPr>
          <w:rFonts w:ascii="Tahoma" w:hAnsi="Tahoma" w:cs="Tahoma"/>
          <w:sz w:val="20"/>
          <w:szCs w:val="20"/>
          <w:lang w:val="de-DE"/>
        </w:rPr>
        <w:t>là một trong những yếu tố tạo nên quyền lực nhất. Những công việc có tính kỹ thuật cao, tính phụ thuộc của tổ chức vào các chuyên gia sẽ tăng để đạt được mục tiêu của mình.</w:t>
      </w:r>
    </w:p>
    <w:p w:rsidR="00777331" w:rsidRPr="00777331" w:rsidRDefault="00777331" w:rsidP="00777331">
      <w:pPr>
        <w:spacing w:after="0" w:line="360" w:lineRule="auto"/>
        <w:ind w:firstLine="540"/>
        <w:jc w:val="both"/>
        <w:outlineLvl w:val="0"/>
        <w:rPr>
          <w:rFonts w:ascii="Tahoma" w:hAnsi="Tahoma" w:cs="Tahoma"/>
          <w:sz w:val="20"/>
          <w:szCs w:val="20"/>
          <w:lang w:val="de-DE"/>
        </w:rPr>
      </w:pPr>
      <w:r w:rsidRPr="00777331">
        <w:rPr>
          <w:rFonts w:ascii="Tahoma" w:hAnsi="Tahoma" w:cs="Tahoma"/>
          <w:i/>
          <w:sz w:val="20"/>
          <w:szCs w:val="20"/>
          <w:lang w:val="de-DE"/>
        </w:rPr>
        <w:t>- Quyền tham khảo</w:t>
      </w:r>
      <w:r w:rsidRPr="00777331">
        <w:rPr>
          <w:rFonts w:ascii="Tahoma" w:hAnsi="Tahoma" w:cs="Tahoma"/>
          <w:sz w:val="20"/>
          <w:szCs w:val="20"/>
          <w:lang w:val="de-DE"/>
        </w:rPr>
        <w:t xml:space="preserve"> phụ thuộc vào đặc điểm tính cách cá nhân hay những nguồn tài nguyên mà con người mong muốn. Ví dụ, trong tổ chức, nếu chúng ta có khả năng cuốn hút người khác lắng nghe mình trình bày, thì chúng ta có thể ảnh hưởng đến người khác và tạo ra quyền lực cho mình.</w:t>
      </w:r>
    </w:p>
    <w:p w:rsidR="00777331" w:rsidRPr="00777331" w:rsidRDefault="00777331" w:rsidP="00777331">
      <w:pPr>
        <w:spacing w:after="0" w:line="360" w:lineRule="auto"/>
        <w:ind w:firstLine="540"/>
        <w:jc w:val="both"/>
        <w:outlineLvl w:val="0"/>
        <w:rPr>
          <w:rFonts w:ascii="Tahoma" w:hAnsi="Tahoma" w:cs="Tahoma"/>
          <w:i/>
          <w:iCs/>
          <w:sz w:val="20"/>
          <w:szCs w:val="20"/>
          <w:lang w:val="de-DE"/>
        </w:rPr>
      </w:pPr>
      <w:r w:rsidRPr="00777331">
        <w:rPr>
          <w:rFonts w:ascii="Tahoma" w:hAnsi="Tahoma" w:cs="Tahoma"/>
          <w:i/>
          <w:iCs/>
          <w:sz w:val="20"/>
          <w:szCs w:val="20"/>
          <w:lang w:val="de-DE"/>
        </w:rPr>
        <w:t>Các yếu tố tạo nên sự phụ thuộc</w:t>
      </w:r>
    </w:p>
    <w:p w:rsidR="00777331" w:rsidRPr="00777331" w:rsidRDefault="00777331" w:rsidP="00777331">
      <w:pPr>
        <w:spacing w:after="0" w:line="360" w:lineRule="auto"/>
        <w:ind w:firstLine="540"/>
        <w:jc w:val="both"/>
        <w:outlineLvl w:val="0"/>
        <w:rPr>
          <w:rFonts w:ascii="Tahoma" w:hAnsi="Tahoma" w:cs="Tahoma"/>
          <w:sz w:val="20"/>
          <w:szCs w:val="20"/>
          <w:lang w:val="de-DE"/>
        </w:rPr>
      </w:pPr>
      <w:r w:rsidRPr="00777331">
        <w:rPr>
          <w:rFonts w:ascii="Tahoma" w:hAnsi="Tahoma" w:cs="Tahoma"/>
          <w:i/>
          <w:sz w:val="20"/>
          <w:szCs w:val="20"/>
          <w:lang w:val="de-DE"/>
        </w:rPr>
        <w:t xml:space="preserve">- </w:t>
      </w:r>
      <w:r w:rsidRPr="00777331">
        <w:rPr>
          <w:rFonts w:ascii="Tahoma" w:hAnsi="Tahoma" w:cs="Tahoma"/>
          <w:bCs/>
          <w:i/>
          <w:sz w:val="20"/>
          <w:szCs w:val="20"/>
          <w:lang w:val="de-DE"/>
        </w:rPr>
        <w:t>Mức độ quan trọng</w:t>
      </w:r>
      <w:r w:rsidRPr="00777331">
        <w:rPr>
          <w:rFonts w:ascii="Tahoma" w:hAnsi="Tahoma" w:cs="Tahoma"/>
          <w:i/>
          <w:sz w:val="20"/>
          <w:szCs w:val="20"/>
          <w:lang w:val="de-DE"/>
        </w:rPr>
        <w:t>.</w:t>
      </w:r>
      <w:r w:rsidRPr="00777331">
        <w:rPr>
          <w:rFonts w:ascii="Tahoma" w:hAnsi="Tahoma" w:cs="Tahoma"/>
          <w:sz w:val="20"/>
          <w:szCs w:val="20"/>
          <w:lang w:val="de-DE"/>
        </w:rPr>
        <w:t xml:space="preserve"> Để tăng tính phụ thuộc của những người khác đối với mình thì chúng ta cần phải kiểm soát được những gì được nhận thức là quan trọng. Ví dụ, tại P&amp;G (Procter and Gamble), phòng marketing rất quan trọng vì doanh nghiệp này cần bán được nhiều hàng. Do đó, phòng này có quyền lực nhiều nhất.</w:t>
      </w:r>
    </w:p>
    <w:p w:rsidR="00777331" w:rsidRPr="00777331" w:rsidRDefault="00777331" w:rsidP="00777331">
      <w:pPr>
        <w:spacing w:after="0" w:line="360" w:lineRule="auto"/>
        <w:ind w:firstLine="540"/>
        <w:jc w:val="both"/>
        <w:outlineLvl w:val="0"/>
        <w:rPr>
          <w:rFonts w:ascii="Tahoma" w:hAnsi="Tahoma" w:cs="Tahoma"/>
          <w:sz w:val="20"/>
          <w:szCs w:val="20"/>
          <w:lang w:val="de-DE"/>
        </w:rPr>
      </w:pPr>
      <w:r w:rsidRPr="00777331">
        <w:rPr>
          <w:rFonts w:ascii="Tahoma" w:hAnsi="Tahoma" w:cs="Tahoma"/>
          <w:i/>
          <w:sz w:val="20"/>
          <w:szCs w:val="20"/>
          <w:lang w:val="de-DE"/>
        </w:rPr>
        <w:t xml:space="preserve">- </w:t>
      </w:r>
      <w:r w:rsidRPr="00777331">
        <w:rPr>
          <w:rFonts w:ascii="Tahoma" w:hAnsi="Tahoma" w:cs="Tahoma"/>
          <w:bCs/>
          <w:i/>
          <w:sz w:val="20"/>
          <w:szCs w:val="20"/>
          <w:lang w:val="de-DE"/>
        </w:rPr>
        <w:t>Sự khan hiếm</w:t>
      </w:r>
      <w:r w:rsidRPr="00777331">
        <w:rPr>
          <w:rFonts w:ascii="Tahoma" w:hAnsi="Tahoma" w:cs="Tahoma"/>
          <w:b/>
          <w:i/>
          <w:sz w:val="20"/>
          <w:szCs w:val="20"/>
          <w:lang w:val="de-DE"/>
        </w:rPr>
        <w:t>.</w:t>
      </w:r>
      <w:r w:rsidRPr="00777331">
        <w:rPr>
          <w:rFonts w:ascii="Tahoma" w:hAnsi="Tahoma" w:cs="Tahoma"/>
          <w:sz w:val="20"/>
          <w:szCs w:val="20"/>
          <w:lang w:val="de-DE"/>
        </w:rPr>
        <w:t xml:space="preserve"> Khi một tài nguyên được coi là khan hiếm thì người nắm giữ tài nguyên này sẽ tăng quyền lực của mình. Điều này giúp chúng ta giải thích được trường hợp những người cấp thấp trong tổ chức lại có ảnh hưởng quyền lực đến những người cấp cao khi họ nắm giữ những kiến thức mà những người cấp cao không có được</w:t>
      </w:r>
    </w:p>
    <w:p w:rsidR="00777331" w:rsidRPr="00777331" w:rsidRDefault="00777331" w:rsidP="00777331">
      <w:pPr>
        <w:spacing w:after="0" w:line="360" w:lineRule="auto"/>
        <w:ind w:firstLine="540"/>
        <w:jc w:val="both"/>
        <w:outlineLvl w:val="0"/>
        <w:rPr>
          <w:rFonts w:ascii="Tahoma" w:hAnsi="Tahoma" w:cs="Tahoma"/>
          <w:sz w:val="20"/>
          <w:szCs w:val="20"/>
          <w:lang w:val="de-DE"/>
        </w:rPr>
      </w:pPr>
      <w:r w:rsidRPr="00777331">
        <w:rPr>
          <w:rFonts w:ascii="Tahoma" w:hAnsi="Tahoma" w:cs="Tahoma"/>
          <w:i/>
          <w:sz w:val="20"/>
          <w:szCs w:val="20"/>
          <w:lang w:val="de-DE"/>
        </w:rPr>
        <w:t xml:space="preserve"> - </w:t>
      </w:r>
      <w:r w:rsidRPr="00777331">
        <w:rPr>
          <w:rFonts w:ascii="Tahoma" w:hAnsi="Tahoma" w:cs="Tahoma"/>
          <w:bCs/>
          <w:i/>
          <w:sz w:val="20"/>
          <w:szCs w:val="20"/>
          <w:lang w:val="de-DE"/>
        </w:rPr>
        <w:t>Khả năng thay thế.</w:t>
      </w:r>
      <w:r w:rsidRPr="00777331">
        <w:rPr>
          <w:rFonts w:ascii="Tahoma" w:hAnsi="Tahoma" w:cs="Tahoma"/>
          <w:b/>
          <w:bCs/>
          <w:sz w:val="20"/>
          <w:szCs w:val="20"/>
          <w:lang w:val="de-DE"/>
        </w:rPr>
        <w:t xml:space="preserve"> </w:t>
      </w:r>
      <w:r w:rsidRPr="00777331">
        <w:rPr>
          <w:rFonts w:ascii="Tahoma" w:hAnsi="Tahoma" w:cs="Tahoma"/>
          <w:sz w:val="20"/>
          <w:szCs w:val="20"/>
          <w:lang w:val="de-DE"/>
        </w:rPr>
        <w:t>Quyền lực sẽ mạnh hơn khi chúng ta độc quyền một tài nguyên có giá trị. Ví dụ, tổ chức công đoàn sẽ không còn nhiều quyền lực nếu tổ chức quyết định sử dụng những công nghệ có khả năng thay thế sức lao động của con người.</w:t>
      </w:r>
    </w:p>
    <w:p w:rsidR="00777331" w:rsidRPr="00777331" w:rsidRDefault="00777331" w:rsidP="00777331">
      <w:pPr>
        <w:spacing w:after="0" w:line="240" w:lineRule="auto"/>
        <w:ind w:left="1440"/>
        <w:jc w:val="center"/>
        <w:rPr>
          <w:rFonts w:ascii="Tahoma" w:hAnsi="Tahoma" w:cs="Tahoma"/>
          <w:b/>
          <w:i/>
          <w:sz w:val="20"/>
          <w:szCs w:val="20"/>
        </w:rPr>
      </w:pPr>
      <w:r w:rsidRPr="00777331">
        <w:rPr>
          <w:rFonts w:ascii="Tahoma" w:hAnsi="Tahoma" w:cs="Tahoma"/>
          <w:b/>
          <w:bCs/>
          <w:i/>
          <w:color w:val="000000"/>
          <w:sz w:val="20"/>
          <w:szCs w:val="20"/>
          <w:lang w:val="de-DE"/>
        </w:rPr>
        <w:t>Hình: Mô hình quyền lực trong tổ chức (</w:t>
      </w:r>
      <w:r w:rsidRPr="00777331">
        <w:rPr>
          <w:rFonts w:ascii="Tahoma" w:hAnsi="Tahoma" w:cs="Tahoma"/>
          <w:b/>
          <w:i/>
          <w:sz w:val="20"/>
          <w:szCs w:val="20"/>
        </w:rPr>
        <w:t>Nguồn: McShane et al. (2005), Organizational Behavior, p.36</w:t>
      </w:r>
      <w:r w:rsidRPr="00777331">
        <w:rPr>
          <w:rFonts w:ascii="Tahoma" w:hAnsi="Tahoma" w:cs="Tahoma"/>
          <w:b/>
          <w:bCs/>
          <w:i/>
          <w:color w:val="000000"/>
          <w:sz w:val="20"/>
          <w:szCs w:val="20"/>
          <w:lang w:val="de-DE"/>
        </w:rPr>
        <w:t>)</w:t>
      </w:r>
    </w:p>
    <w:p w:rsidR="00777331" w:rsidRPr="00777331" w:rsidRDefault="00777331" w:rsidP="00777331">
      <w:pPr>
        <w:spacing w:after="0" w:line="360" w:lineRule="auto"/>
        <w:ind w:left="1440"/>
        <w:jc w:val="center"/>
        <w:rPr>
          <w:rFonts w:ascii="Tahoma" w:hAnsi="Tahoma" w:cs="Tahoma"/>
          <w:b/>
          <w:bCs/>
          <w:i/>
          <w:color w:val="FF6600"/>
          <w:sz w:val="20"/>
          <w:szCs w:val="20"/>
          <w:lang w:val="de-DE"/>
        </w:rPr>
      </w:pPr>
      <w:r>
        <w:rPr>
          <w:rFonts w:ascii="Tahoma" w:hAnsi="Tahoma" w:cs="Tahoma"/>
          <w:b/>
          <w:bCs/>
          <w:i/>
          <w:noProof/>
          <w:color w:val="FF6600"/>
          <w:sz w:val="20"/>
          <w:szCs w:val="20"/>
        </w:rPr>
        <w:pict>
          <v:rect id="_x0000_s1028" style="position:absolute;left:0;text-align:left;margin-left:40.35pt;margin-top:1.55pt;width:99pt;height:101.55pt;z-index:251662336" o:regroupid="1">
            <v:textbox style="mso-next-textbox:#_x0000_s1028">
              <w:txbxContent>
                <w:p w:rsidR="00777331" w:rsidRPr="00777331" w:rsidRDefault="00777331" w:rsidP="00777331">
                  <w:pPr>
                    <w:spacing w:after="0" w:line="240" w:lineRule="auto"/>
                    <w:rPr>
                      <w:rFonts w:ascii="Times New Roman" w:hAnsi="Times New Roman"/>
                      <w:b/>
                      <w:sz w:val="20"/>
                      <w:szCs w:val="20"/>
                    </w:rPr>
                  </w:pPr>
                  <w:r w:rsidRPr="00777331">
                    <w:rPr>
                      <w:rFonts w:ascii="Times New Roman" w:hAnsi="Times New Roman"/>
                      <w:b/>
                      <w:sz w:val="20"/>
                      <w:szCs w:val="20"/>
                    </w:rPr>
                    <w:t>Các yếu tố tạo nên quyền lực</w:t>
                  </w:r>
                </w:p>
                <w:p w:rsidR="00777331" w:rsidRPr="00777331" w:rsidRDefault="00777331" w:rsidP="00777331">
                  <w:pPr>
                    <w:spacing w:after="0" w:line="240" w:lineRule="auto"/>
                    <w:rPr>
                      <w:rFonts w:ascii="Times New Roman" w:hAnsi="Times New Roman"/>
                      <w:sz w:val="20"/>
                      <w:szCs w:val="20"/>
                    </w:rPr>
                  </w:pPr>
                  <w:r w:rsidRPr="00777331">
                    <w:rPr>
                      <w:rFonts w:ascii="Times New Roman" w:hAnsi="Times New Roman"/>
                      <w:sz w:val="20"/>
                      <w:szCs w:val="20"/>
                    </w:rPr>
                    <w:t>- Hợp pháp</w:t>
                  </w:r>
                </w:p>
                <w:p w:rsidR="00777331" w:rsidRPr="00777331" w:rsidRDefault="00777331" w:rsidP="00777331">
                  <w:pPr>
                    <w:spacing w:after="0" w:line="240" w:lineRule="auto"/>
                    <w:rPr>
                      <w:rFonts w:ascii="Times New Roman" w:hAnsi="Times New Roman"/>
                      <w:sz w:val="20"/>
                      <w:szCs w:val="20"/>
                    </w:rPr>
                  </w:pPr>
                  <w:r w:rsidRPr="00777331">
                    <w:rPr>
                      <w:rFonts w:ascii="Times New Roman" w:hAnsi="Times New Roman"/>
                      <w:sz w:val="20"/>
                      <w:szCs w:val="20"/>
                    </w:rPr>
                    <w:t>- Khen thưởng</w:t>
                  </w:r>
                </w:p>
                <w:p w:rsidR="00777331" w:rsidRPr="00777331" w:rsidRDefault="00777331" w:rsidP="00777331">
                  <w:pPr>
                    <w:spacing w:after="0" w:line="240" w:lineRule="auto"/>
                    <w:rPr>
                      <w:rFonts w:ascii="Times New Roman" w:hAnsi="Times New Roman"/>
                      <w:sz w:val="20"/>
                      <w:szCs w:val="20"/>
                    </w:rPr>
                  </w:pPr>
                  <w:r w:rsidRPr="00777331">
                    <w:rPr>
                      <w:rFonts w:ascii="Times New Roman" w:hAnsi="Times New Roman"/>
                      <w:sz w:val="20"/>
                      <w:szCs w:val="20"/>
                    </w:rPr>
                    <w:t>- Ép buộc</w:t>
                  </w:r>
                </w:p>
                <w:p w:rsidR="00777331" w:rsidRPr="00777331" w:rsidRDefault="00777331" w:rsidP="00777331">
                  <w:pPr>
                    <w:spacing w:after="0" w:line="240" w:lineRule="auto"/>
                    <w:rPr>
                      <w:rFonts w:ascii="Times New Roman" w:hAnsi="Times New Roman"/>
                      <w:sz w:val="20"/>
                      <w:szCs w:val="20"/>
                    </w:rPr>
                  </w:pPr>
                  <w:r w:rsidRPr="00777331">
                    <w:rPr>
                      <w:rFonts w:ascii="Times New Roman" w:hAnsi="Times New Roman"/>
                      <w:sz w:val="20"/>
                      <w:szCs w:val="20"/>
                    </w:rPr>
                    <w:t>- Chuyên gia</w:t>
                  </w:r>
                </w:p>
                <w:p w:rsidR="00777331" w:rsidRPr="00777331" w:rsidRDefault="00777331" w:rsidP="00777331">
                  <w:pPr>
                    <w:spacing w:after="0" w:line="240" w:lineRule="auto"/>
                    <w:rPr>
                      <w:rFonts w:ascii="Times New Roman" w:hAnsi="Times New Roman"/>
                      <w:sz w:val="20"/>
                      <w:szCs w:val="20"/>
                    </w:rPr>
                  </w:pPr>
                  <w:r w:rsidRPr="00777331">
                    <w:rPr>
                      <w:rFonts w:ascii="Times New Roman" w:hAnsi="Times New Roman"/>
                      <w:sz w:val="20"/>
                      <w:szCs w:val="20"/>
                    </w:rPr>
                    <w:t>- Tham khảo</w:t>
                  </w:r>
                </w:p>
                <w:p w:rsidR="00777331" w:rsidRPr="00B43FD5" w:rsidRDefault="00777331" w:rsidP="00777331">
                  <w:pPr>
                    <w:rPr>
                      <w:rFonts w:ascii="Arial" w:hAnsi="Arial" w:cs="Arial"/>
                    </w:rPr>
                  </w:pPr>
                </w:p>
              </w:txbxContent>
            </v:textbox>
          </v:rect>
        </w:pict>
      </w:r>
      <w:r>
        <w:rPr>
          <w:rFonts w:ascii="Tahoma" w:hAnsi="Tahoma" w:cs="Tahoma"/>
          <w:b/>
          <w:bCs/>
          <w:i/>
          <w:noProof/>
          <w:color w:val="FF6600"/>
          <w:sz w:val="20"/>
          <w:szCs w:val="20"/>
        </w:rPr>
        <w:pict>
          <v:oval id="_x0000_s1030" style="position:absolute;left:0;text-align:left;margin-left:318.05pt;margin-top:1.95pt;width:108pt;height:90pt;z-index:251664384" o:regroupid="1">
            <v:textbox style="mso-next-textbox:#_x0000_s1030">
              <w:txbxContent>
                <w:p w:rsidR="00777331" w:rsidRPr="00B43FD5" w:rsidRDefault="00777331" w:rsidP="00777331">
                  <w:pPr>
                    <w:spacing w:line="240" w:lineRule="auto"/>
                    <w:jc w:val="center"/>
                    <w:rPr>
                      <w:rFonts w:ascii="Times New Roman" w:hAnsi="Times New Roman"/>
                    </w:rPr>
                  </w:pPr>
                  <w:r w:rsidRPr="00B43FD5">
                    <w:rPr>
                      <w:rFonts w:ascii="Times New Roman" w:hAnsi="Times New Roman"/>
                    </w:rPr>
                    <w:t>Quyền lực ảnh hưởng đến những người khác</w:t>
                  </w:r>
                </w:p>
              </w:txbxContent>
            </v:textbox>
          </v:oval>
        </w:pict>
      </w:r>
    </w:p>
    <w:p w:rsidR="00777331" w:rsidRPr="00777331" w:rsidRDefault="00777331" w:rsidP="00777331">
      <w:pPr>
        <w:spacing w:after="0" w:line="360" w:lineRule="auto"/>
        <w:ind w:left="1440"/>
        <w:jc w:val="both"/>
        <w:rPr>
          <w:rFonts w:ascii="Tahoma" w:hAnsi="Tahoma" w:cs="Tahoma"/>
          <w:b/>
          <w:bCs/>
          <w:i/>
          <w:color w:val="FF6600"/>
          <w:sz w:val="20"/>
          <w:szCs w:val="20"/>
          <w:lang w:val="de-DE"/>
        </w:rPr>
      </w:pPr>
    </w:p>
    <w:p w:rsidR="00777331" w:rsidRPr="00777331" w:rsidRDefault="00777331" w:rsidP="00777331">
      <w:pPr>
        <w:spacing w:after="0" w:line="360" w:lineRule="auto"/>
        <w:ind w:left="1440"/>
        <w:jc w:val="both"/>
        <w:rPr>
          <w:rFonts w:ascii="Tahoma" w:hAnsi="Tahoma" w:cs="Tahoma"/>
          <w:b/>
          <w:bCs/>
          <w:i/>
          <w:color w:val="FF6600"/>
          <w:sz w:val="20"/>
          <w:szCs w:val="20"/>
          <w:lang w:val="de-DE"/>
        </w:rPr>
      </w:pPr>
      <w:r w:rsidRPr="00777331">
        <w:rPr>
          <w:rFonts w:ascii="Tahoma" w:hAnsi="Tahoma" w:cs="Tahoma"/>
          <w:b/>
          <w:bCs/>
          <w:i/>
          <w:noProof/>
          <w:color w:val="FF6600"/>
          <w:sz w:val="20"/>
          <w:szCs w:val="20"/>
        </w:rPr>
        <w:pict>
          <v:line id="_x0000_s1026" style="position:absolute;left:0;text-align:left;z-index:251660288" from="138.05pt,6.15pt" to="318.05pt,6.15pt" strokeweight="1.5pt">
            <v:stroke endarrow="block"/>
          </v:line>
        </w:pict>
      </w:r>
      <w:r>
        <w:rPr>
          <w:rFonts w:ascii="Tahoma" w:hAnsi="Tahoma" w:cs="Tahoma"/>
          <w:b/>
          <w:bCs/>
          <w:i/>
          <w:noProof/>
          <w:color w:val="FF6600"/>
          <w:sz w:val="20"/>
          <w:szCs w:val="20"/>
        </w:rPr>
        <w:pict>
          <v:line id="_x0000_s1031" style="position:absolute;left:0;text-align:left;flip:y;z-index:251665408" from="230.75pt,7pt" to="230.75pt,43pt" o:regroupid="1" strokeweight="1.5pt">
            <v:stroke endarrow="block"/>
          </v:line>
        </w:pict>
      </w:r>
    </w:p>
    <w:p w:rsidR="00777331" w:rsidRPr="00777331" w:rsidRDefault="00777331" w:rsidP="00777331">
      <w:pPr>
        <w:spacing w:after="0" w:line="360" w:lineRule="auto"/>
        <w:ind w:left="1440"/>
        <w:jc w:val="both"/>
        <w:rPr>
          <w:rFonts w:ascii="Tahoma" w:hAnsi="Tahoma" w:cs="Tahoma"/>
          <w:b/>
          <w:bCs/>
          <w:i/>
          <w:color w:val="FF6600"/>
          <w:sz w:val="20"/>
          <w:szCs w:val="20"/>
          <w:lang w:val="de-DE"/>
        </w:rPr>
      </w:pPr>
    </w:p>
    <w:p w:rsidR="00777331" w:rsidRPr="00777331" w:rsidRDefault="00777331" w:rsidP="00777331">
      <w:pPr>
        <w:spacing w:after="0" w:line="360" w:lineRule="auto"/>
        <w:jc w:val="both"/>
        <w:rPr>
          <w:rFonts w:ascii="Tahoma" w:hAnsi="Tahoma" w:cs="Tahoma"/>
          <w:b/>
          <w:bCs/>
          <w:i/>
          <w:color w:val="FF6600"/>
          <w:sz w:val="20"/>
          <w:szCs w:val="20"/>
          <w:lang w:val="de-DE"/>
        </w:rPr>
      </w:pPr>
      <w:r>
        <w:rPr>
          <w:rFonts w:ascii="Tahoma" w:hAnsi="Tahoma" w:cs="Tahoma"/>
          <w:b/>
          <w:bCs/>
          <w:i/>
          <w:noProof/>
          <w:color w:val="FF6600"/>
          <w:sz w:val="20"/>
          <w:szCs w:val="20"/>
        </w:rPr>
        <w:pict>
          <v:rect id="_x0000_s1029" style="position:absolute;left:0;text-align:left;margin-left:173.35pt;margin-top:6.7pt;width:117pt;height:67.5pt;z-index:251663360" o:regroupid="1">
            <v:textbox style="mso-next-textbox:#_x0000_s1029">
              <w:txbxContent>
                <w:p w:rsidR="00777331" w:rsidRPr="00B43FD5" w:rsidRDefault="00777331" w:rsidP="00777331">
                  <w:pPr>
                    <w:spacing w:after="0" w:line="240" w:lineRule="auto"/>
                    <w:jc w:val="center"/>
                    <w:rPr>
                      <w:rFonts w:ascii="Times New Roman" w:hAnsi="Times New Roman"/>
                      <w:b/>
                    </w:rPr>
                  </w:pPr>
                  <w:r w:rsidRPr="00B43FD5">
                    <w:rPr>
                      <w:rFonts w:ascii="Times New Roman" w:hAnsi="Times New Roman"/>
                      <w:b/>
                    </w:rPr>
                    <w:t>Tính phụ thuộc</w:t>
                  </w:r>
                </w:p>
                <w:p w:rsidR="00777331" w:rsidRPr="00B43FD5" w:rsidRDefault="00777331" w:rsidP="00777331">
                  <w:pPr>
                    <w:spacing w:after="0" w:line="240" w:lineRule="auto"/>
                    <w:rPr>
                      <w:rFonts w:ascii="Times New Roman" w:hAnsi="Times New Roman"/>
                    </w:rPr>
                  </w:pPr>
                  <w:r w:rsidRPr="00B43FD5">
                    <w:rPr>
                      <w:rFonts w:ascii="Times New Roman" w:hAnsi="Times New Roman"/>
                    </w:rPr>
                    <w:t>- Mức độ quan trọng</w:t>
                  </w:r>
                </w:p>
                <w:p w:rsidR="00777331" w:rsidRPr="00B43FD5" w:rsidRDefault="00777331" w:rsidP="00777331">
                  <w:pPr>
                    <w:spacing w:after="0" w:line="240" w:lineRule="auto"/>
                    <w:rPr>
                      <w:rFonts w:ascii="Times New Roman" w:hAnsi="Times New Roman"/>
                    </w:rPr>
                  </w:pPr>
                  <w:r w:rsidRPr="00B43FD5">
                    <w:rPr>
                      <w:rFonts w:ascii="Times New Roman" w:hAnsi="Times New Roman"/>
                    </w:rPr>
                    <w:t>- Khả năng thay thế</w:t>
                  </w:r>
                </w:p>
                <w:p w:rsidR="00777331" w:rsidRPr="00B43FD5" w:rsidRDefault="00777331" w:rsidP="00777331">
                  <w:pPr>
                    <w:spacing w:after="0" w:line="240" w:lineRule="auto"/>
                    <w:rPr>
                      <w:rFonts w:ascii="Times New Roman" w:hAnsi="Times New Roman"/>
                    </w:rPr>
                  </w:pPr>
                  <w:r w:rsidRPr="00B43FD5">
                    <w:rPr>
                      <w:rFonts w:ascii="Times New Roman" w:hAnsi="Times New Roman"/>
                    </w:rPr>
                    <w:t>- Sự khan hiếm</w:t>
                  </w:r>
                </w:p>
              </w:txbxContent>
            </v:textbox>
          </v:rect>
        </w:pict>
      </w:r>
    </w:p>
    <w:p w:rsidR="00777331" w:rsidRPr="00777331" w:rsidRDefault="00777331" w:rsidP="00777331">
      <w:pPr>
        <w:spacing w:after="0" w:line="360" w:lineRule="auto"/>
        <w:ind w:left="1440"/>
        <w:jc w:val="both"/>
        <w:rPr>
          <w:rFonts w:ascii="Tahoma" w:hAnsi="Tahoma" w:cs="Tahoma"/>
          <w:b/>
          <w:bCs/>
          <w:i/>
          <w:color w:val="FF6600"/>
          <w:sz w:val="20"/>
          <w:szCs w:val="20"/>
          <w:lang w:val="de-DE"/>
        </w:rPr>
      </w:pPr>
    </w:p>
    <w:p w:rsidR="00A41D3D" w:rsidRPr="00777331" w:rsidRDefault="00A41D3D">
      <w:pPr>
        <w:rPr>
          <w:rFonts w:ascii="Tahoma" w:hAnsi="Tahoma" w:cs="Tahoma"/>
          <w:sz w:val="20"/>
          <w:szCs w:val="20"/>
        </w:rPr>
      </w:pPr>
    </w:p>
    <w:sectPr w:rsidR="00A41D3D" w:rsidRPr="00777331" w:rsidSect="00A41D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77331"/>
    <w:rsid w:val="00186D8F"/>
    <w:rsid w:val="00777331"/>
    <w:rsid w:val="00A41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3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2014-12-17T13:48:00Z</dcterms:created>
  <dcterms:modified xsi:type="dcterms:W3CDTF">2014-12-17T13:55:00Z</dcterms:modified>
</cp:coreProperties>
</file>