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41" w:rsidRPr="00901641" w:rsidRDefault="00901641" w:rsidP="00901641">
      <w:pPr>
        <w:spacing w:line="360" w:lineRule="auto"/>
        <w:ind w:right="-377"/>
        <w:jc w:val="both"/>
        <w:outlineLvl w:val="1"/>
        <w:rPr>
          <w:rFonts w:ascii="Times New Roman" w:hAnsi="Times New Roman" w:cs="Times New Roman"/>
          <w:b/>
          <w:sz w:val="32"/>
          <w:szCs w:val="32"/>
        </w:rPr>
      </w:pPr>
      <w:r w:rsidRPr="00901641">
        <w:rPr>
          <w:rFonts w:ascii="Times New Roman" w:hAnsi="Times New Roman" w:cs="Times New Roman"/>
          <w:b/>
          <w:sz w:val="32"/>
          <w:szCs w:val="32"/>
        </w:rPr>
        <w:t>Nợ đọng bảo hiểm xã hội của các doanh nghiệp tại thành phố Đà Nẵng</w:t>
      </w:r>
    </w:p>
    <w:p w:rsidR="00901641" w:rsidRPr="00901641" w:rsidRDefault="00901641" w:rsidP="00901641">
      <w:pPr>
        <w:spacing w:line="360" w:lineRule="auto"/>
        <w:ind w:right="-377" w:firstLine="720"/>
        <w:jc w:val="both"/>
        <w:outlineLvl w:val="1"/>
        <w:rPr>
          <w:rFonts w:ascii="Times New Roman" w:hAnsi="Times New Roman" w:cs="Times New Roman"/>
          <w:sz w:val="26"/>
          <w:szCs w:val="26"/>
        </w:rPr>
      </w:pPr>
      <w:proofErr w:type="gramStart"/>
      <w:r>
        <w:rPr>
          <w:rFonts w:ascii="Times New Roman" w:hAnsi="Times New Roman" w:cs="Times New Roman"/>
          <w:sz w:val="26"/>
          <w:szCs w:val="26"/>
        </w:rPr>
        <w:t>Nợ đọng bảo hiểm xã hội đang là vấn đề rất được quan tâm của các cơ quan bảo hiểm hiện nay.</w:t>
      </w:r>
      <w:proofErr w:type="gramEnd"/>
      <w:r>
        <w:rPr>
          <w:rFonts w:ascii="Times New Roman" w:hAnsi="Times New Roman" w:cs="Times New Roman"/>
          <w:sz w:val="26"/>
          <w:szCs w:val="26"/>
        </w:rPr>
        <w:t xml:space="preserve"> </w:t>
      </w:r>
      <w:r w:rsidRPr="0006638D">
        <w:rPr>
          <w:rFonts w:ascii="Times New Roman" w:hAnsi="Times New Roman" w:cs="Times New Roman"/>
          <w:sz w:val="26"/>
          <w:szCs w:val="26"/>
        </w:rPr>
        <w:t>Tình hình nợ đọng BHXH diễn biến phức tạp, tính đế</w:t>
      </w:r>
      <w:r>
        <w:rPr>
          <w:rFonts w:ascii="Times New Roman" w:hAnsi="Times New Roman" w:cs="Times New Roman"/>
          <w:sz w:val="26"/>
          <w:szCs w:val="26"/>
        </w:rPr>
        <w:t>n 7/</w:t>
      </w:r>
      <w:r w:rsidRPr="0006638D">
        <w:rPr>
          <w:rFonts w:ascii="Times New Roman" w:hAnsi="Times New Roman" w:cs="Times New Roman"/>
          <w:sz w:val="26"/>
          <w:szCs w:val="26"/>
        </w:rPr>
        <w:t>2012 có 750 cơ quan, đơn vị, doanh nghiệp còn nợ tiền BHXH (bao gồm cả bảo hiểm tự nguyện)</w:t>
      </w:r>
    </w:p>
    <w:p w:rsidR="00901641" w:rsidRPr="0006638D" w:rsidRDefault="00901641" w:rsidP="00901641">
      <w:pPr>
        <w:pStyle w:val="ListParagraph"/>
        <w:numPr>
          <w:ilvl w:val="0"/>
          <w:numId w:val="1"/>
        </w:numPr>
        <w:spacing w:line="360" w:lineRule="auto"/>
        <w:ind w:right="-377"/>
        <w:jc w:val="both"/>
        <w:rPr>
          <w:rFonts w:ascii="Times New Roman" w:hAnsi="Times New Roman" w:cs="Times New Roman"/>
          <w:sz w:val="26"/>
          <w:szCs w:val="26"/>
        </w:rPr>
      </w:pPr>
      <w:r w:rsidRPr="0006638D">
        <w:rPr>
          <w:rFonts w:ascii="Times New Roman" w:hAnsi="Times New Roman" w:cs="Times New Roman"/>
          <w:sz w:val="26"/>
          <w:szCs w:val="26"/>
        </w:rPr>
        <w:t>Tính đế</w:t>
      </w:r>
      <w:r>
        <w:rPr>
          <w:rFonts w:ascii="Times New Roman" w:hAnsi="Times New Roman" w:cs="Times New Roman"/>
          <w:sz w:val="26"/>
          <w:szCs w:val="26"/>
        </w:rPr>
        <w:t>n 9/</w:t>
      </w:r>
      <w:r w:rsidRPr="0006638D">
        <w:rPr>
          <w:rFonts w:ascii="Times New Roman" w:hAnsi="Times New Roman" w:cs="Times New Roman"/>
          <w:sz w:val="26"/>
          <w:szCs w:val="26"/>
        </w:rPr>
        <w:t>2013 có 930 đơn vị nợ đọng với tổng số tiền nợ BHXH (bao gồm cả bảo hiểm thất nghiệp )  từ 3 tháng trở lên là gần 82 tỉ đồng</w:t>
      </w:r>
    </w:p>
    <w:p w:rsidR="00901641" w:rsidRPr="0006638D" w:rsidRDefault="00901641" w:rsidP="00901641">
      <w:pPr>
        <w:pStyle w:val="ListParagraph"/>
        <w:numPr>
          <w:ilvl w:val="0"/>
          <w:numId w:val="1"/>
        </w:numPr>
        <w:spacing w:line="360" w:lineRule="auto"/>
        <w:ind w:right="-377"/>
        <w:jc w:val="both"/>
        <w:rPr>
          <w:rFonts w:ascii="Times New Roman" w:hAnsi="Times New Roman" w:cs="Times New Roman"/>
          <w:sz w:val="26"/>
          <w:szCs w:val="26"/>
          <w:u w:val="single"/>
        </w:rPr>
      </w:pPr>
      <w:r w:rsidRPr="0006638D">
        <w:rPr>
          <w:rFonts w:ascii="Times New Roman" w:hAnsi="Times New Roman" w:cs="Times New Roman"/>
          <w:sz w:val="26"/>
          <w:szCs w:val="26"/>
        </w:rPr>
        <w:t>Tính đến cuối tháng 10 năm 2014, trên địa bàn Đà Nẵng có 1.079 đơn vị nợ đọng bảo hiểm xã hội, bảo hiểm y tế (BHXH, BHYT) bắt buộc từ 3 tháng trở lên với tổng số tiền lên đến hơn 103</w:t>
      </w:r>
      <w:proofErr w:type="gramStart"/>
      <w:r w:rsidRPr="0006638D">
        <w:rPr>
          <w:rFonts w:ascii="Times New Roman" w:hAnsi="Times New Roman" w:cs="Times New Roman"/>
          <w:sz w:val="26"/>
          <w:szCs w:val="26"/>
        </w:rPr>
        <w:t>,5</w:t>
      </w:r>
      <w:proofErr w:type="gramEnd"/>
      <w:r w:rsidRPr="0006638D">
        <w:rPr>
          <w:rFonts w:ascii="Times New Roman" w:hAnsi="Times New Roman" w:cs="Times New Roman"/>
          <w:sz w:val="26"/>
          <w:szCs w:val="26"/>
        </w:rPr>
        <w:t xml:space="preserve"> tỷ đồng. Đáng nói, có nhiều đơn vị nợ đọng, chiếm dụng tiền BHXH với số tiền lớn trong nhiều năm liền... Tình hình nợ, nợ đọng BHXH, BHYT đang là vấn đề nóng và rất đáng được quan tâm.</w:t>
      </w:r>
    </w:p>
    <w:p w:rsidR="00901641" w:rsidRPr="002F7F24" w:rsidRDefault="00901641" w:rsidP="00901641">
      <w:pPr>
        <w:pStyle w:val="ListParagraph"/>
        <w:spacing w:line="360" w:lineRule="auto"/>
        <w:ind w:right="-377"/>
        <w:jc w:val="both"/>
        <w:rPr>
          <w:rFonts w:ascii="Times New Roman" w:hAnsi="Times New Roman" w:cs="Times New Roman"/>
          <w:sz w:val="26"/>
          <w:szCs w:val="26"/>
        </w:rPr>
      </w:pPr>
      <w:r w:rsidRPr="002F7F24">
        <w:rPr>
          <w:rFonts w:ascii="Times New Roman" w:hAnsi="Times New Roman" w:cs="Times New Roman"/>
          <w:sz w:val="26"/>
          <w:szCs w:val="26"/>
          <w:u w:val="single"/>
        </w:rPr>
        <w:t>Bảng 1</w:t>
      </w:r>
      <w:r w:rsidRPr="002F7F24">
        <w:rPr>
          <w:rFonts w:ascii="Times New Roman" w:hAnsi="Times New Roman" w:cs="Times New Roman"/>
          <w:sz w:val="26"/>
          <w:szCs w:val="26"/>
        </w:rPr>
        <w:t>: So sánh nợ đọng BHXH qua các năm 2012-2014</w:t>
      </w:r>
    </w:p>
    <w:tbl>
      <w:tblPr>
        <w:tblW w:w="91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7"/>
        <w:gridCol w:w="974"/>
        <w:gridCol w:w="974"/>
        <w:gridCol w:w="974"/>
        <w:gridCol w:w="1298"/>
        <w:gridCol w:w="1137"/>
        <w:gridCol w:w="1137"/>
        <w:gridCol w:w="1137"/>
      </w:tblGrid>
      <w:tr w:rsidR="00901641" w:rsidRPr="002F7F24" w:rsidTr="0094482A">
        <w:trPr>
          <w:trHeight w:val="690"/>
        </w:trPr>
        <w:tc>
          <w:tcPr>
            <w:tcW w:w="1567" w:type="dxa"/>
            <w:vMerge w:val="restart"/>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Chỉ tiêu/ Năm</w:t>
            </w:r>
          </w:p>
        </w:tc>
        <w:tc>
          <w:tcPr>
            <w:tcW w:w="974" w:type="dxa"/>
            <w:vMerge w:val="restart"/>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2012</w:t>
            </w:r>
          </w:p>
        </w:tc>
        <w:tc>
          <w:tcPr>
            <w:tcW w:w="974" w:type="dxa"/>
            <w:vMerge w:val="restart"/>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2013</w:t>
            </w:r>
          </w:p>
        </w:tc>
        <w:tc>
          <w:tcPr>
            <w:tcW w:w="974" w:type="dxa"/>
            <w:vMerge w:val="restart"/>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2014</w:t>
            </w:r>
          </w:p>
        </w:tc>
        <w:tc>
          <w:tcPr>
            <w:tcW w:w="2435" w:type="dxa"/>
            <w:gridSpan w:val="2"/>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Chênh lệch 2012-2013</w:t>
            </w:r>
          </w:p>
        </w:tc>
        <w:tc>
          <w:tcPr>
            <w:tcW w:w="2274" w:type="dxa"/>
            <w:gridSpan w:val="2"/>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Chênh lệch 2013-2014</w:t>
            </w:r>
          </w:p>
        </w:tc>
      </w:tr>
      <w:tr w:rsidR="00901641" w:rsidRPr="002F7F24" w:rsidTr="0094482A">
        <w:trPr>
          <w:trHeight w:val="170"/>
        </w:trPr>
        <w:tc>
          <w:tcPr>
            <w:tcW w:w="1567" w:type="dxa"/>
            <w:vMerge/>
          </w:tcPr>
          <w:p w:rsidR="00901641" w:rsidRPr="002F7F24" w:rsidRDefault="00901641" w:rsidP="00901641">
            <w:pPr>
              <w:spacing w:line="360" w:lineRule="auto"/>
              <w:jc w:val="both"/>
              <w:rPr>
                <w:rFonts w:ascii="Times New Roman" w:hAnsi="Times New Roman" w:cs="Times New Roman"/>
                <w:sz w:val="26"/>
                <w:szCs w:val="26"/>
              </w:rPr>
            </w:pPr>
          </w:p>
        </w:tc>
        <w:tc>
          <w:tcPr>
            <w:tcW w:w="974" w:type="dxa"/>
            <w:vMerge/>
          </w:tcPr>
          <w:p w:rsidR="00901641" w:rsidRPr="002F7F24" w:rsidRDefault="00901641" w:rsidP="00901641">
            <w:pPr>
              <w:spacing w:line="360" w:lineRule="auto"/>
              <w:jc w:val="both"/>
              <w:rPr>
                <w:rFonts w:ascii="Times New Roman" w:hAnsi="Times New Roman" w:cs="Times New Roman"/>
                <w:sz w:val="26"/>
                <w:szCs w:val="26"/>
              </w:rPr>
            </w:pPr>
          </w:p>
        </w:tc>
        <w:tc>
          <w:tcPr>
            <w:tcW w:w="974" w:type="dxa"/>
            <w:vMerge/>
          </w:tcPr>
          <w:p w:rsidR="00901641" w:rsidRPr="002F7F24" w:rsidRDefault="00901641" w:rsidP="00901641">
            <w:pPr>
              <w:spacing w:line="360" w:lineRule="auto"/>
              <w:jc w:val="both"/>
              <w:rPr>
                <w:rFonts w:ascii="Times New Roman" w:hAnsi="Times New Roman" w:cs="Times New Roman"/>
                <w:sz w:val="26"/>
                <w:szCs w:val="26"/>
              </w:rPr>
            </w:pPr>
          </w:p>
        </w:tc>
        <w:tc>
          <w:tcPr>
            <w:tcW w:w="974" w:type="dxa"/>
            <w:vMerge/>
          </w:tcPr>
          <w:p w:rsidR="00901641" w:rsidRPr="002F7F24" w:rsidRDefault="00901641" w:rsidP="00901641">
            <w:pPr>
              <w:spacing w:line="360" w:lineRule="auto"/>
              <w:jc w:val="both"/>
              <w:rPr>
                <w:rFonts w:ascii="Times New Roman" w:hAnsi="Times New Roman" w:cs="Times New Roman"/>
                <w:sz w:val="26"/>
                <w:szCs w:val="26"/>
              </w:rPr>
            </w:pPr>
          </w:p>
        </w:tc>
        <w:tc>
          <w:tcPr>
            <w:tcW w:w="1298"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Giá trị</w:t>
            </w:r>
          </w:p>
        </w:tc>
        <w:tc>
          <w:tcPr>
            <w:tcW w:w="113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Tỷ lệ %</w:t>
            </w:r>
          </w:p>
        </w:tc>
        <w:tc>
          <w:tcPr>
            <w:tcW w:w="113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Giá trị</w:t>
            </w:r>
          </w:p>
        </w:tc>
        <w:tc>
          <w:tcPr>
            <w:tcW w:w="113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Tỷ lệ %</w:t>
            </w:r>
          </w:p>
        </w:tc>
      </w:tr>
      <w:tr w:rsidR="00901641" w:rsidRPr="002F7F24" w:rsidTr="0094482A">
        <w:trPr>
          <w:trHeight w:val="352"/>
        </w:trPr>
        <w:tc>
          <w:tcPr>
            <w:tcW w:w="156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Số DN</w:t>
            </w:r>
          </w:p>
        </w:tc>
        <w:tc>
          <w:tcPr>
            <w:tcW w:w="974"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750</w:t>
            </w:r>
          </w:p>
        </w:tc>
        <w:tc>
          <w:tcPr>
            <w:tcW w:w="974"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930</w:t>
            </w:r>
          </w:p>
        </w:tc>
        <w:tc>
          <w:tcPr>
            <w:tcW w:w="974"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1079</w:t>
            </w:r>
          </w:p>
        </w:tc>
        <w:tc>
          <w:tcPr>
            <w:tcW w:w="1298"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180</w:t>
            </w:r>
          </w:p>
        </w:tc>
        <w:tc>
          <w:tcPr>
            <w:tcW w:w="113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24</w:t>
            </w:r>
          </w:p>
        </w:tc>
        <w:tc>
          <w:tcPr>
            <w:tcW w:w="113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149</w:t>
            </w:r>
          </w:p>
        </w:tc>
        <w:tc>
          <w:tcPr>
            <w:tcW w:w="113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16.02</w:t>
            </w:r>
          </w:p>
        </w:tc>
      </w:tr>
      <w:tr w:rsidR="00901641" w:rsidRPr="002F7F24" w:rsidTr="0094482A">
        <w:trPr>
          <w:trHeight w:val="352"/>
        </w:trPr>
        <w:tc>
          <w:tcPr>
            <w:tcW w:w="156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Tổng số nợ( tỷ đồng)</w:t>
            </w:r>
          </w:p>
        </w:tc>
        <w:tc>
          <w:tcPr>
            <w:tcW w:w="974"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68</w:t>
            </w:r>
          </w:p>
        </w:tc>
        <w:tc>
          <w:tcPr>
            <w:tcW w:w="974"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82</w:t>
            </w:r>
          </w:p>
        </w:tc>
        <w:tc>
          <w:tcPr>
            <w:tcW w:w="974"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103.5</w:t>
            </w:r>
          </w:p>
        </w:tc>
        <w:tc>
          <w:tcPr>
            <w:tcW w:w="1298"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14</w:t>
            </w:r>
          </w:p>
        </w:tc>
        <w:tc>
          <w:tcPr>
            <w:tcW w:w="113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20.59</w:t>
            </w:r>
          </w:p>
        </w:tc>
        <w:tc>
          <w:tcPr>
            <w:tcW w:w="113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21.5</w:t>
            </w:r>
          </w:p>
        </w:tc>
        <w:tc>
          <w:tcPr>
            <w:tcW w:w="1137" w:type="dxa"/>
          </w:tcPr>
          <w:p w:rsidR="00901641" w:rsidRPr="002F7F24" w:rsidRDefault="00901641" w:rsidP="00901641">
            <w:pPr>
              <w:spacing w:line="360" w:lineRule="auto"/>
              <w:jc w:val="both"/>
              <w:rPr>
                <w:rFonts w:ascii="Times New Roman" w:hAnsi="Times New Roman" w:cs="Times New Roman"/>
                <w:sz w:val="26"/>
                <w:szCs w:val="26"/>
              </w:rPr>
            </w:pPr>
            <w:r w:rsidRPr="002F7F24">
              <w:rPr>
                <w:rFonts w:ascii="Times New Roman" w:hAnsi="Times New Roman" w:cs="Times New Roman"/>
                <w:sz w:val="26"/>
                <w:szCs w:val="26"/>
              </w:rPr>
              <w:t>26.22</w:t>
            </w:r>
          </w:p>
        </w:tc>
      </w:tr>
    </w:tbl>
    <w:p w:rsidR="00901641" w:rsidRPr="00901641" w:rsidRDefault="00901641" w:rsidP="00901641">
      <w:pPr>
        <w:spacing w:line="360" w:lineRule="auto"/>
        <w:ind w:right="-377"/>
        <w:jc w:val="both"/>
        <w:rPr>
          <w:rFonts w:ascii="Times New Roman" w:hAnsi="Times New Roman" w:cs="Times New Roman"/>
          <w:sz w:val="26"/>
          <w:szCs w:val="26"/>
        </w:rPr>
      </w:pPr>
    </w:p>
    <w:p w:rsidR="00901641" w:rsidRPr="002F7F24" w:rsidRDefault="00901641" w:rsidP="00901641">
      <w:pPr>
        <w:pStyle w:val="ListParagraph"/>
        <w:numPr>
          <w:ilvl w:val="0"/>
          <w:numId w:val="1"/>
        </w:numPr>
        <w:spacing w:line="360" w:lineRule="auto"/>
        <w:ind w:right="-377"/>
        <w:contextualSpacing w:val="0"/>
        <w:jc w:val="both"/>
        <w:rPr>
          <w:rFonts w:ascii="Times New Roman" w:hAnsi="Times New Roman" w:cs="Times New Roman"/>
          <w:sz w:val="26"/>
          <w:szCs w:val="26"/>
        </w:rPr>
      </w:pPr>
      <w:r w:rsidRPr="002F7F24">
        <w:rPr>
          <w:rFonts w:ascii="Times New Roman" w:hAnsi="Times New Roman" w:cs="Times New Roman"/>
          <w:sz w:val="26"/>
          <w:szCs w:val="26"/>
        </w:rPr>
        <w:t>Tình trạng nợ đọng BHXH gia tăng qua các năm kể cả về số lượng doanh nghiệp và số tiền nợ đọng BHXH.</w:t>
      </w:r>
    </w:p>
    <w:p w:rsidR="00901641" w:rsidRPr="002F7F24" w:rsidRDefault="00901641" w:rsidP="00901641">
      <w:pPr>
        <w:pStyle w:val="ListParagraph"/>
        <w:numPr>
          <w:ilvl w:val="0"/>
          <w:numId w:val="1"/>
        </w:numPr>
        <w:spacing w:line="360" w:lineRule="auto"/>
        <w:ind w:right="-377"/>
        <w:contextualSpacing w:val="0"/>
        <w:jc w:val="both"/>
        <w:rPr>
          <w:rFonts w:ascii="Times New Roman" w:hAnsi="Times New Roman" w:cs="Times New Roman"/>
          <w:sz w:val="26"/>
          <w:szCs w:val="26"/>
        </w:rPr>
      </w:pPr>
      <w:r w:rsidRPr="002F7F24">
        <w:rPr>
          <w:rFonts w:ascii="Times New Roman" w:hAnsi="Times New Roman" w:cs="Times New Roman"/>
          <w:sz w:val="26"/>
          <w:szCs w:val="26"/>
        </w:rPr>
        <w:t>Năm 2013 số doanh nghiệp nợ đọng BHXH tăng 180 doanh nghiệp so với năm 2012 với tỉ lệ 24% và tổng số tiền tăng lên là 14 tỷ đồng tương đương với 20,58%. Nguyên nhân chủ yếu là do:</w:t>
      </w:r>
    </w:p>
    <w:p w:rsidR="00901641" w:rsidRPr="002F7F24" w:rsidRDefault="00901641" w:rsidP="00901641">
      <w:pPr>
        <w:pStyle w:val="ListParagraph"/>
        <w:spacing w:line="360" w:lineRule="auto"/>
        <w:ind w:left="360" w:right="-377"/>
        <w:jc w:val="both"/>
        <w:rPr>
          <w:rFonts w:ascii="Times New Roman" w:hAnsi="Times New Roman" w:cs="Times New Roman"/>
          <w:sz w:val="26"/>
          <w:szCs w:val="26"/>
        </w:rPr>
      </w:pPr>
      <w:r w:rsidRPr="002F7F24">
        <w:rPr>
          <w:rFonts w:ascii="Times New Roman" w:hAnsi="Times New Roman" w:cs="Times New Roman"/>
          <w:sz w:val="26"/>
          <w:szCs w:val="26"/>
        </w:rPr>
        <w:lastRenderedPageBreak/>
        <w:t xml:space="preserve">+ </w:t>
      </w:r>
      <w:r w:rsidRPr="002F7F24">
        <w:rPr>
          <w:rFonts w:ascii="Times New Roman" w:hAnsi="Times New Roman" w:cs="Times New Roman"/>
          <w:sz w:val="26"/>
          <w:szCs w:val="26"/>
        </w:rPr>
        <w:tab/>
        <w:t>Thứ nhất do quy định mức lãi suất chậm đóng BHXH thấp hơn mức lãi suất vay ngân hàng nên đại bộ phận doanh nghiệp cố tình nợ BHXH, chấp nhận chịu phạt để chiếm dụng quỹ BHXH, Doanh nghiệp cố tình không đóng BHXH, BHYT hoặc chỉ đóng BHXH, BHYT cho một số người trong bộ khung quản lý của đơn vị để giảm chi phí, thu lợi nhuận nhiều hơn.</w:t>
      </w:r>
    </w:p>
    <w:p w:rsidR="00901641" w:rsidRPr="002F7F24" w:rsidRDefault="00901641" w:rsidP="00901641">
      <w:pPr>
        <w:pStyle w:val="ListParagraph"/>
        <w:spacing w:line="360" w:lineRule="auto"/>
        <w:ind w:left="360" w:right="-377"/>
        <w:jc w:val="both"/>
        <w:rPr>
          <w:rFonts w:ascii="Times New Roman" w:hAnsi="Times New Roman" w:cs="Times New Roman"/>
          <w:sz w:val="26"/>
          <w:szCs w:val="26"/>
        </w:rPr>
      </w:pPr>
      <w:r w:rsidRPr="002F7F24">
        <w:rPr>
          <w:rFonts w:ascii="Times New Roman" w:hAnsi="Times New Roman" w:cs="Times New Roman"/>
          <w:sz w:val="26"/>
          <w:szCs w:val="26"/>
        </w:rPr>
        <w:t>+</w:t>
      </w:r>
      <w:r w:rsidRPr="002F7F24">
        <w:rPr>
          <w:rFonts w:ascii="Times New Roman" w:hAnsi="Times New Roman" w:cs="Times New Roman"/>
          <w:sz w:val="26"/>
          <w:szCs w:val="26"/>
        </w:rPr>
        <w:tab/>
        <w:t>Thứ hai, do tình hình kinh tế - xã hội gặp nhiều khó khăn, tốc độ tăng trưởng chậm, sản xuất kinh doanh đình đốn, sức mua thị trường giảm, nhiều doanh nghiệp phá sản, giải thể hoặc tạm ngừng hoạt động không có khả năng đóng BHXH làm cho nợ BHXH tăng nhanh.</w:t>
      </w:r>
    </w:p>
    <w:p w:rsidR="00901641" w:rsidRPr="002F7F24" w:rsidRDefault="00901641" w:rsidP="00901641">
      <w:pPr>
        <w:pStyle w:val="ListParagraph"/>
        <w:numPr>
          <w:ilvl w:val="0"/>
          <w:numId w:val="1"/>
        </w:numPr>
        <w:spacing w:line="360" w:lineRule="auto"/>
        <w:ind w:right="-377"/>
        <w:contextualSpacing w:val="0"/>
        <w:jc w:val="both"/>
        <w:rPr>
          <w:rFonts w:ascii="Times New Roman" w:hAnsi="Times New Roman" w:cs="Times New Roman"/>
          <w:sz w:val="26"/>
          <w:szCs w:val="26"/>
        </w:rPr>
      </w:pPr>
      <w:r w:rsidRPr="002F7F24">
        <w:rPr>
          <w:rFonts w:ascii="Times New Roman" w:hAnsi="Times New Roman" w:cs="Times New Roman"/>
          <w:sz w:val="26"/>
          <w:szCs w:val="26"/>
        </w:rPr>
        <w:t>Đến năm 2014 con số doanh nghiệp nợ đọng BHXH tăng 149 doanh nghiệp tương đương với tỉ lệ tăng là 16,02% nhưng con số này đã cho thấy có sự sụt giảm31 doanh nghiệp so với lượng tăng của năm 2013 và với số tiền nợ tăng là 21.5 tỷ đồng tương đương tỉ lệ 26,22%.Một nguyên nhân chính dẫn tới sự gia tăng liên tục các DN nợ đọng BHXH là doLuật BHXH và Luật BHYT thời gian qua bộc lộ một số thiếu sót, bất cập, không còn phù hợp với thực tế nhưng chưa được sửa đổi kịp thời; ý thức chấp hành pháp luật BHXH, BHYT của nhiều đơn vị sử dụng lao động chưa tốt, chế tài xử phạt chưa nghiêm, mức phạt các vi phạm chưa đủ mạnh để buộc doanh nghiệp tuân thủ.</w:t>
      </w:r>
    </w:p>
    <w:p w:rsidR="00901641" w:rsidRPr="002F7F24" w:rsidRDefault="00901641" w:rsidP="00901641">
      <w:pPr>
        <w:pStyle w:val="ListParagraph"/>
        <w:spacing w:line="360" w:lineRule="auto"/>
        <w:ind w:right="-377"/>
        <w:jc w:val="both"/>
        <w:rPr>
          <w:rFonts w:ascii="Times New Roman" w:hAnsi="Times New Roman" w:cs="Times New Roman"/>
          <w:sz w:val="26"/>
          <w:szCs w:val="26"/>
        </w:rPr>
      </w:pPr>
      <w:r w:rsidRPr="002F7F24">
        <w:rPr>
          <w:rFonts w:ascii="Times New Roman" w:hAnsi="Times New Roman" w:cs="Times New Roman"/>
          <w:sz w:val="26"/>
          <w:szCs w:val="26"/>
        </w:rPr>
        <w:t>Bên cạnh đó, đơn vị BHXH không quản lý hết được các đối tượng phải đóng BHXH, BHYT, thiếu cơ chế phối hợp giữa BHXH và các cơ quan có liên quan như: LĐTBXH, KHĐT, Thuế...</w:t>
      </w:r>
    </w:p>
    <w:p w:rsidR="00901641" w:rsidRDefault="00901641" w:rsidP="00901641">
      <w:pPr>
        <w:pStyle w:val="ListParagraph"/>
        <w:spacing w:line="360" w:lineRule="auto"/>
        <w:ind w:right="-377"/>
        <w:jc w:val="both"/>
        <w:rPr>
          <w:rFonts w:ascii="Times New Roman" w:hAnsi="Times New Roman" w:cs="Times New Roman"/>
          <w:sz w:val="26"/>
          <w:szCs w:val="26"/>
          <w:u w:val="single"/>
        </w:rPr>
      </w:pPr>
    </w:p>
    <w:p w:rsidR="00901641" w:rsidRDefault="00901641" w:rsidP="00901641">
      <w:pPr>
        <w:pStyle w:val="ListParagraph"/>
        <w:spacing w:line="360" w:lineRule="auto"/>
        <w:ind w:right="-377"/>
        <w:jc w:val="both"/>
        <w:rPr>
          <w:rFonts w:ascii="Times New Roman" w:hAnsi="Times New Roman" w:cs="Times New Roman"/>
          <w:sz w:val="26"/>
          <w:szCs w:val="26"/>
          <w:u w:val="single"/>
        </w:rPr>
      </w:pPr>
    </w:p>
    <w:p w:rsidR="00901641" w:rsidRDefault="00901641" w:rsidP="00901641">
      <w:pPr>
        <w:pStyle w:val="ListParagraph"/>
        <w:spacing w:line="360" w:lineRule="auto"/>
        <w:ind w:right="-377"/>
        <w:jc w:val="both"/>
        <w:rPr>
          <w:rFonts w:ascii="Times New Roman" w:hAnsi="Times New Roman" w:cs="Times New Roman"/>
          <w:sz w:val="26"/>
          <w:szCs w:val="26"/>
          <w:u w:val="single"/>
        </w:rPr>
      </w:pPr>
    </w:p>
    <w:p w:rsidR="00901641" w:rsidRDefault="00901641" w:rsidP="00901641">
      <w:pPr>
        <w:pStyle w:val="ListParagraph"/>
        <w:spacing w:line="360" w:lineRule="auto"/>
        <w:ind w:right="-377"/>
        <w:jc w:val="both"/>
        <w:rPr>
          <w:rFonts w:ascii="Times New Roman" w:hAnsi="Times New Roman" w:cs="Times New Roman"/>
          <w:sz w:val="26"/>
          <w:szCs w:val="26"/>
          <w:u w:val="single"/>
        </w:rPr>
      </w:pPr>
    </w:p>
    <w:p w:rsidR="00901641" w:rsidRDefault="00901641" w:rsidP="00901641">
      <w:pPr>
        <w:pStyle w:val="ListParagraph"/>
        <w:spacing w:line="360" w:lineRule="auto"/>
        <w:ind w:right="-377"/>
        <w:jc w:val="both"/>
        <w:rPr>
          <w:rFonts w:ascii="Times New Roman" w:hAnsi="Times New Roman" w:cs="Times New Roman"/>
          <w:sz w:val="26"/>
          <w:szCs w:val="26"/>
          <w:u w:val="single"/>
        </w:rPr>
      </w:pPr>
    </w:p>
    <w:p w:rsidR="00901641" w:rsidRDefault="00901641" w:rsidP="00901641">
      <w:pPr>
        <w:pStyle w:val="ListParagraph"/>
        <w:spacing w:line="360" w:lineRule="auto"/>
        <w:ind w:right="-377"/>
        <w:jc w:val="both"/>
        <w:rPr>
          <w:rFonts w:ascii="Times New Roman" w:hAnsi="Times New Roman" w:cs="Times New Roman"/>
          <w:sz w:val="26"/>
          <w:szCs w:val="26"/>
          <w:u w:val="single"/>
        </w:rPr>
      </w:pPr>
    </w:p>
    <w:p w:rsidR="00901641" w:rsidRDefault="00901641" w:rsidP="00901641">
      <w:pPr>
        <w:pStyle w:val="ListParagraph"/>
        <w:spacing w:line="360" w:lineRule="auto"/>
        <w:ind w:right="-377"/>
        <w:jc w:val="both"/>
        <w:rPr>
          <w:rFonts w:ascii="Times New Roman" w:hAnsi="Times New Roman" w:cs="Times New Roman"/>
          <w:sz w:val="26"/>
          <w:szCs w:val="26"/>
          <w:u w:val="single"/>
        </w:rPr>
      </w:pPr>
    </w:p>
    <w:p w:rsidR="00901641" w:rsidRPr="002F7F24" w:rsidRDefault="00901641" w:rsidP="00901641">
      <w:pPr>
        <w:pStyle w:val="ListParagraph"/>
        <w:spacing w:line="360" w:lineRule="auto"/>
        <w:ind w:right="-377"/>
        <w:jc w:val="both"/>
        <w:rPr>
          <w:rFonts w:ascii="Times New Roman" w:hAnsi="Times New Roman" w:cs="Times New Roman"/>
          <w:sz w:val="26"/>
          <w:szCs w:val="26"/>
        </w:rPr>
      </w:pPr>
      <w:r w:rsidRPr="002F7F24">
        <w:rPr>
          <w:rFonts w:ascii="Times New Roman" w:hAnsi="Times New Roman" w:cs="Times New Roman"/>
          <w:sz w:val="26"/>
          <w:szCs w:val="26"/>
          <w:u w:val="single"/>
        </w:rPr>
        <w:lastRenderedPageBreak/>
        <w:t>Bả</w:t>
      </w:r>
      <w:r>
        <w:rPr>
          <w:rFonts w:ascii="Times New Roman" w:hAnsi="Times New Roman" w:cs="Times New Roman"/>
          <w:sz w:val="26"/>
          <w:szCs w:val="26"/>
          <w:u w:val="single"/>
        </w:rPr>
        <w:t xml:space="preserve">ng </w:t>
      </w:r>
      <w:r w:rsidRPr="002F7F24">
        <w:rPr>
          <w:rFonts w:ascii="Times New Roman" w:hAnsi="Times New Roman" w:cs="Times New Roman"/>
          <w:sz w:val="26"/>
          <w:szCs w:val="26"/>
          <w:u w:val="single"/>
        </w:rPr>
        <w:t xml:space="preserve">2: </w:t>
      </w:r>
      <w:r w:rsidRPr="002F7F24">
        <w:rPr>
          <w:rFonts w:ascii="Times New Roman" w:hAnsi="Times New Roman" w:cs="Times New Roman"/>
          <w:sz w:val="26"/>
          <w:szCs w:val="26"/>
        </w:rPr>
        <w:t xml:space="preserve">Danh sách các doanh nghiệp nợ đọng BHXH 2014     </w:t>
      </w:r>
    </w:p>
    <w:p w:rsidR="00901641" w:rsidRPr="00C93F67" w:rsidRDefault="00901641" w:rsidP="00901641">
      <w:pPr>
        <w:spacing w:line="360" w:lineRule="auto"/>
        <w:ind w:left="6480" w:right="-377" w:firstLine="720"/>
        <w:jc w:val="both"/>
        <w:rPr>
          <w:rFonts w:ascii="Times New Roman" w:hAnsi="Times New Roman" w:cs="Times New Roman"/>
          <w:sz w:val="26"/>
          <w:szCs w:val="26"/>
        </w:rPr>
      </w:pPr>
      <w:r w:rsidRPr="00C93F67">
        <w:rPr>
          <w:rFonts w:ascii="Times New Roman" w:hAnsi="Times New Roman" w:cs="Times New Roman"/>
          <w:sz w:val="26"/>
          <w:szCs w:val="26"/>
          <w:u w:val="single"/>
        </w:rPr>
        <w:t xml:space="preserve">Đơn </w:t>
      </w:r>
      <w:proofErr w:type="gramStart"/>
      <w:r w:rsidRPr="00C93F67">
        <w:rPr>
          <w:rFonts w:ascii="Times New Roman" w:hAnsi="Times New Roman" w:cs="Times New Roman"/>
          <w:sz w:val="26"/>
          <w:szCs w:val="26"/>
          <w:u w:val="single"/>
        </w:rPr>
        <w:t>vị</w:t>
      </w:r>
      <w:r w:rsidRPr="00C93F67">
        <w:rPr>
          <w:rFonts w:ascii="Times New Roman" w:hAnsi="Times New Roman" w:cs="Times New Roman"/>
          <w:sz w:val="26"/>
          <w:szCs w:val="26"/>
        </w:rPr>
        <w:t xml:space="preserve"> :</w:t>
      </w:r>
      <w:proofErr w:type="gramEnd"/>
      <w:r w:rsidRPr="00C93F67">
        <w:rPr>
          <w:rFonts w:ascii="Times New Roman" w:hAnsi="Times New Roman" w:cs="Times New Roman"/>
          <w:sz w:val="26"/>
          <w:szCs w:val="26"/>
        </w:rPr>
        <w:t xml:space="preserve"> Tỷ đồng</w:t>
      </w:r>
    </w:p>
    <w:tbl>
      <w:tblPr>
        <w:tblStyle w:val="TableGrid"/>
        <w:tblW w:w="9757" w:type="dxa"/>
        <w:jc w:val="center"/>
        <w:tblInd w:w="468" w:type="dxa"/>
        <w:tblLook w:val="04A0"/>
      </w:tblPr>
      <w:tblGrid>
        <w:gridCol w:w="555"/>
        <w:gridCol w:w="184"/>
        <w:gridCol w:w="524"/>
        <w:gridCol w:w="4991"/>
        <w:gridCol w:w="559"/>
        <w:gridCol w:w="1058"/>
        <w:gridCol w:w="559"/>
        <w:gridCol w:w="805"/>
        <w:gridCol w:w="522"/>
      </w:tblGrid>
      <w:tr w:rsidR="00901641" w:rsidRPr="00901641" w:rsidTr="0094482A">
        <w:trPr>
          <w:gridBefore w:val="1"/>
          <w:wBefore w:w="559" w:type="dxa"/>
          <w:jc w:val="center"/>
        </w:trPr>
        <w:tc>
          <w:tcPr>
            <w:tcW w:w="630" w:type="dxa"/>
            <w:gridSpan w:val="2"/>
          </w:tcPr>
          <w:p w:rsidR="00901641" w:rsidRPr="00901641" w:rsidRDefault="00901641" w:rsidP="00901641">
            <w:pPr>
              <w:spacing w:line="360" w:lineRule="auto"/>
              <w:jc w:val="center"/>
              <w:rPr>
                <w:rFonts w:cs="Times New Roman"/>
                <w:b/>
                <w:sz w:val="26"/>
                <w:szCs w:val="26"/>
              </w:rPr>
            </w:pPr>
            <w:r w:rsidRPr="00901641">
              <w:rPr>
                <w:rFonts w:cs="Times New Roman"/>
                <w:b/>
                <w:sz w:val="26"/>
                <w:szCs w:val="26"/>
              </w:rPr>
              <w:t>STT</w:t>
            </w:r>
          </w:p>
        </w:tc>
        <w:tc>
          <w:tcPr>
            <w:tcW w:w="5561" w:type="dxa"/>
            <w:gridSpan w:val="2"/>
          </w:tcPr>
          <w:p w:rsidR="00901641" w:rsidRPr="00901641" w:rsidRDefault="00901641" w:rsidP="00901641">
            <w:pPr>
              <w:spacing w:line="360" w:lineRule="auto"/>
              <w:jc w:val="center"/>
              <w:rPr>
                <w:rFonts w:cs="Times New Roman"/>
                <w:b/>
                <w:sz w:val="26"/>
                <w:szCs w:val="26"/>
              </w:rPr>
            </w:pPr>
            <w:r w:rsidRPr="00901641">
              <w:rPr>
                <w:rFonts w:cs="Times New Roman"/>
                <w:b/>
                <w:sz w:val="26"/>
                <w:szCs w:val="26"/>
              </w:rPr>
              <w:t>Tên Công Ty</w:t>
            </w:r>
          </w:p>
        </w:tc>
        <w:tc>
          <w:tcPr>
            <w:tcW w:w="1617" w:type="dxa"/>
            <w:gridSpan w:val="2"/>
          </w:tcPr>
          <w:p w:rsidR="00901641" w:rsidRPr="00901641" w:rsidRDefault="00901641" w:rsidP="00901641">
            <w:pPr>
              <w:spacing w:line="360" w:lineRule="auto"/>
              <w:jc w:val="center"/>
              <w:rPr>
                <w:rFonts w:cs="Times New Roman"/>
                <w:b/>
                <w:sz w:val="26"/>
                <w:szCs w:val="26"/>
              </w:rPr>
            </w:pPr>
            <w:r w:rsidRPr="00901641">
              <w:rPr>
                <w:rFonts w:cs="Times New Roman"/>
                <w:b/>
                <w:sz w:val="26"/>
                <w:szCs w:val="26"/>
              </w:rPr>
              <w:t>Thời gian nợ</w:t>
            </w:r>
          </w:p>
          <w:p w:rsidR="00901641" w:rsidRPr="00901641" w:rsidRDefault="00901641" w:rsidP="00901641">
            <w:pPr>
              <w:spacing w:line="360" w:lineRule="auto"/>
              <w:jc w:val="center"/>
              <w:rPr>
                <w:rFonts w:cs="Times New Roman"/>
                <w:b/>
                <w:sz w:val="26"/>
                <w:szCs w:val="26"/>
              </w:rPr>
            </w:pPr>
            <w:r w:rsidRPr="00901641">
              <w:rPr>
                <w:rFonts w:cs="Times New Roman"/>
                <w:b/>
                <w:sz w:val="26"/>
                <w:szCs w:val="26"/>
              </w:rPr>
              <w:t>(tháng)</w:t>
            </w:r>
          </w:p>
        </w:tc>
        <w:tc>
          <w:tcPr>
            <w:tcW w:w="1390" w:type="dxa"/>
            <w:gridSpan w:val="2"/>
          </w:tcPr>
          <w:p w:rsidR="00901641" w:rsidRPr="00901641" w:rsidRDefault="00901641" w:rsidP="00901641">
            <w:pPr>
              <w:spacing w:line="360" w:lineRule="auto"/>
              <w:jc w:val="center"/>
              <w:rPr>
                <w:rFonts w:cs="Times New Roman"/>
                <w:b/>
                <w:sz w:val="26"/>
                <w:szCs w:val="26"/>
              </w:rPr>
            </w:pPr>
            <w:r w:rsidRPr="00901641">
              <w:rPr>
                <w:rFonts w:cs="Times New Roman"/>
                <w:b/>
                <w:sz w:val="26"/>
                <w:szCs w:val="26"/>
              </w:rPr>
              <w:t>Số tiền nợ</w:t>
            </w:r>
          </w:p>
          <w:p w:rsidR="00901641" w:rsidRPr="00901641" w:rsidRDefault="00901641" w:rsidP="00901641">
            <w:pPr>
              <w:spacing w:line="360" w:lineRule="auto"/>
              <w:jc w:val="center"/>
              <w:rPr>
                <w:rFonts w:cs="Times New Roman"/>
                <w:b/>
                <w:sz w:val="26"/>
                <w:szCs w:val="26"/>
              </w:rPr>
            </w:pPr>
            <w:r w:rsidRPr="00901641">
              <w:rPr>
                <w:rFonts w:cs="Times New Roman"/>
                <w:b/>
                <w:sz w:val="26"/>
                <w:szCs w:val="26"/>
              </w:rPr>
              <w:t>(tỷ đồng)</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Chi nhánh miền Trung Công ty cổ phần Đầu tư và xây dựng giao thông</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21</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0.265</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cổ phần Xây dựng giao thông 325</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21</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0.41</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3</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CP Xây dựng công trình 2/9</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&gt;12</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0.423</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4</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cổ phần VLXD 323</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21</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0.453</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5</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cổ phần kỹ thuật cơ điện lạnh Tadico</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27</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0.465</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6</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Xí nghiệp sản xuất VLXD và thi công cơ giới</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19</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0.485</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7</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Công trình giao thông 503</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34</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0.625</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8</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TNHH thương mại du lịch Thảo Oanh</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&gt;12</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0.768</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9</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TNHH sản xuất-xây dựng và thương mại Khải Phát</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&gt;12</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0.783</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10</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Cơ khí ôtô và Thiết bị điện Đà Nẵng</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7</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11</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 Công ty CP Biển Tiên Sa</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&gt;12</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12</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Chi nhánh Công ty TNHH Tài nguyên công nghệ VN tại Đà Nẵng</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8</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1.053</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lastRenderedPageBreak/>
              <w:t>13</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liên doanh xây dựng đường bộ 5</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50</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1.237</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14</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CP Thủy sản Nhật Hoàng</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&gt;12</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1.3</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15</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Công trình 5</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46</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1.5</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16</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Chi nhánh Trung tâm ĐTDĐ C.D.M.A tại Đà Nẵng</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37</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2.5</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17</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Cty TNHH khai thác vàng Bồng Miêu</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23</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3.6</w:t>
            </w:r>
          </w:p>
        </w:tc>
      </w:tr>
      <w:tr w:rsidR="00901641" w:rsidRPr="006D4ADF" w:rsidTr="0094482A">
        <w:tblPrEx>
          <w:jc w:val="left"/>
        </w:tblPrEx>
        <w:trPr>
          <w:gridAfter w:val="1"/>
          <w:wAfter w:w="585" w:type="dxa"/>
          <w:trHeight w:val="300"/>
        </w:trPr>
        <w:tc>
          <w:tcPr>
            <w:tcW w:w="720"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18</w:t>
            </w:r>
          </w:p>
        </w:tc>
        <w:tc>
          <w:tcPr>
            <w:tcW w:w="5471"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Chi nhánh Công ty cổ phần Someco Sông Đà tại miền Trung</w:t>
            </w:r>
          </w:p>
        </w:tc>
        <w:tc>
          <w:tcPr>
            <w:tcW w:w="1617"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51</w:t>
            </w:r>
          </w:p>
        </w:tc>
        <w:tc>
          <w:tcPr>
            <w:tcW w:w="1364" w:type="dxa"/>
            <w:gridSpan w:val="2"/>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4.1</w:t>
            </w:r>
          </w:p>
        </w:tc>
      </w:tr>
    </w:tbl>
    <w:p w:rsidR="00901641" w:rsidRPr="0006638D" w:rsidRDefault="00901641" w:rsidP="00901641">
      <w:pPr>
        <w:pStyle w:val="ListParagraph"/>
        <w:numPr>
          <w:ilvl w:val="0"/>
          <w:numId w:val="2"/>
        </w:numPr>
        <w:spacing w:line="360" w:lineRule="auto"/>
        <w:ind w:right="-377"/>
        <w:jc w:val="both"/>
        <w:rPr>
          <w:rFonts w:ascii="Times New Roman" w:hAnsi="Times New Roman" w:cs="Times New Roman"/>
          <w:sz w:val="26"/>
          <w:szCs w:val="26"/>
        </w:rPr>
      </w:pPr>
      <w:r w:rsidRPr="0006638D">
        <w:rPr>
          <w:rFonts w:ascii="Times New Roman" w:hAnsi="Times New Roman" w:cs="Times New Roman"/>
          <w:sz w:val="26"/>
          <w:szCs w:val="26"/>
        </w:rPr>
        <w:t xml:space="preserve">Cty TNHH khai thác vàng Bồng </w:t>
      </w:r>
      <w:proofErr w:type="gramStart"/>
      <w:r w:rsidRPr="0006638D">
        <w:rPr>
          <w:rFonts w:ascii="Times New Roman" w:hAnsi="Times New Roman" w:cs="Times New Roman"/>
          <w:sz w:val="26"/>
          <w:szCs w:val="26"/>
        </w:rPr>
        <w:t>Miêu :</w:t>
      </w:r>
      <w:proofErr w:type="gramEnd"/>
      <w:r w:rsidRPr="0006638D">
        <w:rPr>
          <w:rFonts w:ascii="Times New Roman" w:hAnsi="Times New Roman" w:cs="Times New Roman"/>
          <w:sz w:val="26"/>
          <w:szCs w:val="26"/>
        </w:rPr>
        <w:t xml:space="preserve"> Năm 2013 mỏ vàng Bồng Miêu bị ảnh hưởng do thiên tai, do sức ép của việc cưỡng chế thuế, nên khối lượng khoáng sản nguyên khai đưa vào chế biến chỉ có 12.830 tấn, khối lượng vàng sau chế biến chỉ đạt 868 oz, tương đương 30 ký vàng. Khối lượng vàng đi kèm </w:t>
      </w:r>
      <w:proofErr w:type="gramStart"/>
      <w:r w:rsidRPr="0006638D">
        <w:rPr>
          <w:rFonts w:ascii="Times New Roman" w:hAnsi="Times New Roman" w:cs="Times New Roman"/>
          <w:sz w:val="26"/>
          <w:szCs w:val="26"/>
        </w:rPr>
        <w:t>thu</w:t>
      </w:r>
      <w:proofErr w:type="gramEnd"/>
      <w:r w:rsidRPr="0006638D">
        <w:rPr>
          <w:rFonts w:ascii="Times New Roman" w:hAnsi="Times New Roman" w:cs="Times New Roman"/>
          <w:sz w:val="26"/>
          <w:szCs w:val="26"/>
        </w:rPr>
        <w:t xml:space="preserve"> hồi được 595 oz, tương đương 19 ký vàng. Tổng doanh thu là hơn 216 tỷ đồng, nhưng chi phí hơn 283 tỷ đồng,tính ra lỗ gần 70 tỷ đồng.Điều này cho thấy công ty TNHH khai thác vàng Bồng Miêu không  có khả năng thanh toán BHXH cũng như thuế.</w:t>
      </w:r>
    </w:p>
    <w:p w:rsidR="00901641" w:rsidRPr="00C93F67" w:rsidRDefault="00901641" w:rsidP="00901641">
      <w:pPr>
        <w:pStyle w:val="ListParagraph"/>
        <w:numPr>
          <w:ilvl w:val="0"/>
          <w:numId w:val="2"/>
        </w:numPr>
        <w:spacing w:line="360" w:lineRule="auto"/>
        <w:ind w:right="-377"/>
        <w:jc w:val="both"/>
        <w:rPr>
          <w:rFonts w:ascii="Times New Roman" w:hAnsi="Times New Roman" w:cs="Times New Roman"/>
          <w:sz w:val="26"/>
          <w:szCs w:val="26"/>
          <w:u w:val="single"/>
        </w:rPr>
      </w:pPr>
      <w:r w:rsidRPr="0006638D">
        <w:rPr>
          <w:rFonts w:ascii="Times New Roman" w:hAnsi="Times New Roman" w:cs="Times New Roman"/>
          <w:sz w:val="26"/>
          <w:szCs w:val="26"/>
        </w:rPr>
        <w:t xml:space="preserve">Chi nhánh Công ty cổ phần Someco Sông Đà tại miền Trung : </w:t>
      </w:r>
    </w:p>
    <w:p w:rsidR="00901641" w:rsidRPr="0006638D" w:rsidRDefault="00901641" w:rsidP="00901641">
      <w:pPr>
        <w:pStyle w:val="ListParagraph"/>
        <w:spacing w:line="360" w:lineRule="auto"/>
        <w:ind w:left="770" w:right="-377"/>
        <w:jc w:val="both"/>
        <w:rPr>
          <w:rFonts w:ascii="Times New Roman" w:hAnsi="Times New Roman" w:cs="Times New Roman"/>
          <w:sz w:val="26"/>
          <w:szCs w:val="26"/>
        </w:rPr>
      </w:pPr>
      <w:r w:rsidRPr="00C93F67">
        <w:rPr>
          <w:rFonts w:ascii="Times New Roman" w:hAnsi="Times New Roman" w:cs="Times New Roman"/>
          <w:sz w:val="26"/>
          <w:szCs w:val="26"/>
          <w:u w:val="single"/>
        </w:rPr>
        <w:t xml:space="preserve">Bảng </w:t>
      </w:r>
      <w:r>
        <w:rPr>
          <w:rFonts w:ascii="Times New Roman" w:hAnsi="Times New Roman" w:cs="Times New Roman"/>
          <w:sz w:val="26"/>
          <w:szCs w:val="26"/>
          <w:u w:val="single"/>
        </w:rPr>
        <w:t>3: Kết quả kinh doanh của 1 số DN</w:t>
      </w:r>
      <w:r w:rsidRPr="00C93F67">
        <w:rPr>
          <w:rFonts w:ascii="Times New Roman" w:hAnsi="Times New Roman" w:cs="Times New Roman"/>
          <w:sz w:val="26"/>
          <w:szCs w:val="26"/>
        </w:rPr>
        <w:tab/>
      </w:r>
      <w:r w:rsidRPr="00C93F67">
        <w:rPr>
          <w:rFonts w:ascii="Times New Roman" w:hAnsi="Times New Roman" w:cs="Times New Roman"/>
          <w:sz w:val="26"/>
          <w:szCs w:val="26"/>
        </w:rPr>
        <w:tab/>
      </w:r>
      <w:r w:rsidRPr="00C93F67">
        <w:rPr>
          <w:rFonts w:ascii="Times New Roman" w:hAnsi="Times New Roman" w:cs="Times New Roman"/>
          <w:sz w:val="26"/>
          <w:szCs w:val="26"/>
        </w:rPr>
        <w:tab/>
      </w:r>
      <w:r w:rsidRPr="00C93F67">
        <w:rPr>
          <w:rFonts w:ascii="Times New Roman" w:hAnsi="Times New Roman" w:cs="Times New Roman"/>
          <w:sz w:val="26"/>
          <w:szCs w:val="26"/>
        </w:rPr>
        <w:tab/>
      </w:r>
      <w:r w:rsidRPr="00C93F67">
        <w:rPr>
          <w:rFonts w:ascii="Times New Roman" w:hAnsi="Times New Roman" w:cs="Times New Roman"/>
          <w:sz w:val="26"/>
          <w:szCs w:val="26"/>
        </w:rPr>
        <w:tab/>
      </w:r>
      <w:r w:rsidRPr="00C93F67">
        <w:rPr>
          <w:rFonts w:ascii="Times New Roman" w:hAnsi="Times New Roman" w:cs="Times New Roman"/>
          <w:sz w:val="26"/>
          <w:szCs w:val="26"/>
        </w:rPr>
        <w:tab/>
      </w:r>
      <w:r w:rsidRPr="00C93F67">
        <w:rPr>
          <w:rFonts w:ascii="Times New Roman" w:hAnsi="Times New Roman" w:cs="Times New Roman"/>
          <w:sz w:val="26"/>
          <w:szCs w:val="26"/>
        </w:rPr>
        <w:tab/>
      </w:r>
      <w:r w:rsidRPr="00C93F67">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3F67">
        <w:rPr>
          <w:rFonts w:ascii="Times New Roman" w:hAnsi="Times New Roman" w:cs="Times New Roman"/>
          <w:sz w:val="26"/>
          <w:szCs w:val="26"/>
          <w:u w:val="single"/>
        </w:rPr>
        <w:t>Đơn</w:t>
      </w:r>
      <w:r w:rsidRPr="0006638D">
        <w:rPr>
          <w:rFonts w:ascii="Times New Roman" w:hAnsi="Times New Roman" w:cs="Times New Roman"/>
          <w:sz w:val="26"/>
          <w:szCs w:val="26"/>
          <w:u w:val="single"/>
        </w:rPr>
        <w:t xml:space="preserve"> </w:t>
      </w:r>
      <w:proofErr w:type="gramStart"/>
      <w:r w:rsidRPr="0006638D">
        <w:rPr>
          <w:rFonts w:ascii="Times New Roman" w:hAnsi="Times New Roman" w:cs="Times New Roman"/>
          <w:sz w:val="26"/>
          <w:szCs w:val="26"/>
          <w:u w:val="single"/>
        </w:rPr>
        <w:t>vị</w:t>
      </w:r>
      <w:r w:rsidRPr="0006638D">
        <w:rPr>
          <w:rFonts w:ascii="Times New Roman" w:hAnsi="Times New Roman" w:cs="Times New Roman"/>
          <w:sz w:val="26"/>
          <w:szCs w:val="26"/>
        </w:rPr>
        <w:t xml:space="preserve"> :</w:t>
      </w:r>
      <w:proofErr w:type="gramEnd"/>
      <w:r w:rsidRPr="0006638D">
        <w:rPr>
          <w:rFonts w:ascii="Times New Roman" w:hAnsi="Times New Roman" w:cs="Times New Roman"/>
          <w:sz w:val="26"/>
          <w:szCs w:val="26"/>
        </w:rPr>
        <w:t xml:space="preserve"> Tỷ đồng</w:t>
      </w:r>
    </w:p>
    <w:tbl>
      <w:tblPr>
        <w:tblW w:w="488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083"/>
        <w:gridCol w:w="683"/>
        <w:gridCol w:w="1315"/>
        <w:gridCol w:w="1315"/>
        <w:gridCol w:w="1315"/>
        <w:gridCol w:w="1469"/>
      </w:tblGrid>
      <w:tr w:rsidR="00901641" w:rsidRPr="0006638D" w:rsidTr="0094482A">
        <w:tc>
          <w:tcPr>
            <w:tcW w:w="168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b/>
                <w:bCs/>
                <w:sz w:val="26"/>
                <w:szCs w:val="26"/>
              </w:rPr>
            </w:pPr>
            <w:r w:rsidRPr="0006638D">
              <w:rPr>
                <w:rFonts w:ascii="Times New Roman" w:eastAsia="Times New Roman" w:hAnsi="Times New Roman" w:cs="Times New Roman"/>
                <w:b/>
                <w:bCs/>
                <w:sz w:val="26"/>
                <w:szCs w:val="26"/>
              </w:rPr>
              <w:t>KẾT QUẢ KINH DOANH</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b/>
                <w:bCs/>
                <w:sz w:val="26"/>
                <w:szCs w:val="26"/>
              </w:rPr>
            </w:pPr>
            <w:r w:rsidRPr="0006638D">
              <w:rPr>
                <w:rFonts w:ascii="Times New Roman" w:eastAsia="Times New Roman" w:hAnsi="Times New Roman" w:cs="Times New Roman"/>
                <w:b/>
                <w:bCs/>
                <w:sz w:val="26"/>
                <w:szCs w:val="26"/>
              </w:rPr>
              <w:t> </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b/>
                <w:bCs/>
                <w:sz w:val="26"/>
                <w:szCs w:val="26"/>
              </w:rPr>
            </w:pPr>
            <w:r w:rsidRPr="0006638D">
              <w:rPr>
                <w:rFonts w:ascii="Times New Roman" w:eastAsia="Times New Roman" w:hAnsi="Times New Roman" w:cs="Times New Roman"/>
                <w:b/>
                <w:bCs/>
                <w:sz w:val="26"/>
                <w:szCs w:val="26"/>
              </w:rPr>
              <w:t>Năm 2014</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b/>
                <w:bCs/>
                <w:sz w:val="26"/>
                <w:szCs w:val="26"/>
              </w:rPr>
            </w:pPr>
            <w:r w:rsidRPr="0006638D">
              <w:rPr>
                <w:rFonts w:ascii="Times New Roman" w:eastAsia="Times New Roman" w:hAnsi="Times New Roman" w:cs="Times New Roman"/>
                <w:b/>
                <w:bCs/>
                <w:sz w:val="26"/>
                <w:szCs w:val="26"/>
              </w:rPr>
              <w:t>Năm 2013</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b/>
                <w:bCs/>
                <w:sz w:val="26"/>
                <w:szCs w:val="26"/>
              </w:rPr>
            </w:pPr>
            <w:r w:rsidRPr="0006638D">
              <w:rPr>
                <w:rFonts w:ascii="Times New Roman" w:eastAsia="Times New Roman" w:hAnsi="Times New Roman" w:cs="Times New Roman"/>
                <w:b/>
                <w:bCs/>
                <w:sz w:val="26"/>
                <w:szCs w:val="26"/>
              </w:rPr>
              <w:t>Năm 2012</w:t>
            </w:r>
          </w:p>
        </w:tc>
        <w:tc>
          <w:tcPr>
            <w:tcW w:w="80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b/>
                <w:bCs/>
                <w:sz w:val="26"/>
                <w:szCs w:val="26"/>
              </w:rPr>
            </w:pPr>
            <w:r w:rsidRPr="0006638D">
              <w:rPr>
                <w:rFonts w:ascii="Times New Roman" w:eastAsia="Times New Roman" w:hAnsi="Times New Roman" w:cs="Times New Roman"/>
                <w:b/>
                <w:bCs/>
                <w:sz w:val="26"/>
                <w:szCs w:val="26"/>
              </w:rPr>
              <w:t>Năm 2011</w:t>
            </w:r>
          </w:p>
        </w:tc>
      </w:tr>
      <w:tr w:rsidR="00901641" w:rsidRPr="0006638D" w:rsidTr="0094482A">
        <w:tc>
          <w:tcPr>
            <w:tcW w:w="168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Doanh thu thuần</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noProof/>
                <w:sz w:val="26"/>
                <w:szCs w:val="26"/>
              </w:rPr>
              <w:drawing>
                <wp:inline distT="0" distB="0" distL="0" distR="0">
                  <wp:extent cx="334010" cy="158750"/>
                  <wp:effectExtent l="19050" t="0" r="8890" b="0"/>
                  <wp:docPr id="18" name="Picture 35" descr="http://0.chart.apis.google.com/chart?cht=bvg&amp;chs=35x17&amp;chd=t:248560.00,206011.00,288253.00,396502.00&amp;chds=a&amp;chco=8CADC6|8CADC6|8CADC6|8CADC6&amp;chbh=a,0,3&amp;chxt=x,y&amp;chxs=0,000000,0,0,_,000000|1,000000,0,0,_,000000&amp;chma=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0.chart.apis.google.com/chart?cht=bvg&amp;chs=35x17&amp;chd=t:248560.00,206011.00,288253.00,396502.00&amp;chds=a&amp;chco=8CADC6|8CADC6|8CADC6|8CADC6&amp;chbh=a,0,3&amp;chxt=x,y&amp;chxs=0,000000,0,0,_,000000|1,000000,0,0,_,000000&amp;chma=0,0,2,0"/>
                          <pic:cNvPicPr>
                            <a:picLocks noChangeAspect="1" noChangeArrowheads="1"/>
                          </pic:cNvPicPr>
                        </pic:nvPicPr>
                        <pic:blipFill>
                          <a:blip r:embed="rId5" cstate="print"/>
                          <a:srcRect/>
                          <a:stretch>
                            <a:fillRect/>
                          </a:stretch>
                        </pic:blipFill>
                        <pic:spPr bwMode="auto">
                          <a:xfrm>
                            <a:off x="0" y="0"/>
                            <a:ext cx="334010" cy="158750"/>
                          </a:xfrm>
                          <a:prstGeom prst="rect">
                            <a:avLst/>
                          </a:prstGeom>
                          <a:noFill/>
                          <a:ln w="9525">
                            <a:noFill/>
                            <a:miter lim="800000"/>
                            <a:headEnd/>
                            <a:tailEnd/>
                          </a:ln>
                        </pic:spPr>
                      </pic:pic>
                    </a:graphicData>
                  </a:graphic>
                </wp:inline>
              </w:drawing>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248,560</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206,011</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288,253</w:t>
            </w:r>
          </w:p>
        </w:tc>
        <w:tc>
          <w:tcPr>
            <w:tcW w:w="80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396,502</w:t>
            </w:r>
          </w:p>
        </w:tc>
      </w:tr>
      <w:tr w:rsidR="00901641" w:rsidRPr="0006638D" w:rsidTr="0094482A">
        <w:tc>
          <w:tcPr>
            <w:tcW w:w="168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Lợi nhuận gộp</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noProof/>
                <w:sz w:val="26"/>
                <w:szCs w:val="26"/>
              </w:rPr>
              <w:drawing>
                <wp:inline distT="0" distB="0" distL="0" distR="0">
                  <wp:extent cx="334010" cy="158750"/>
                  <wp:effectExtent l="19050" t="0" r="8890" b="0"/>
                  <wp:docPr id="19" name="Picture 36" descr="http://1.chart.apis.google.com/chart?cht=bvg&amp;chs=35x17&amp;chd=t:53512.00,65631.00,94632.00,111254.00&amp;chds=a&amp;chco=8CADC6|8CADC6|8CADC6|8CADC6&amp;chbh=a,0,3&amp;chxt=x,y&amp;chxs=0,000000,0,0,_,000000|1,000000,0,0,_,000000&amp;chma=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chart.apis.google.com/chart?cht=bvg&amp;chs=35x17&amp;chd=t:53512.00,65631.00,94632.00,111254.00&amp;chds=a&amp;chco=8CADC6|8CADC6|8CADC6|8CADC6&amp;chbh=a,0,3&amp;chxt=x,y&amp;chxs=0,000000,0,0,_,000000|1,000000,0,0,_,000000&amp;chma=0,0,2,0"/>
                          <pic:cNvPicPr>
                            <a:picLocks noChangeAspect="1" noChangeArrowheads="1"/>
                          </pic:cNvPicPr>
                        </pic:nvPicPr>
                        <pic:blipFill>
                          <a:blip r:embed="rId6" cstate="print"/>
                          <a:srcRect/>
                          <a:stretch>
                            <a:fillRect/>
                          </a:stretch>
                        </pic:blipFill>
                        <pic:spPr bwMode="auto">
                          <a:xfrm>
                            <a:off x="0" y="0"/>
                            <a:ext cx="334010" cy="158750"/>
                          </a:xfrm>
                          <a:prstGeom prst="rect">
                            <a:avLst/>
                          </a:prstGeom>
                          <a:noFill/>
                          <a:ln w="9525">
                            <a:noFill/>
                            <a:miter lim="800000"/>
                            <a:headEnd/>
                            <a:tailEnd/>
                          </a:ln>
                        </pic:spPr>
                      </pic:pic>
                    </a:graphicData>
                  </a:graphic>
                </wp:inline>
              </w:drawing>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53,512</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65,631</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94,632</w:t>
            </w:r>
          </w:p>
        </w:tc>
        <w:tc>
          <w:tcPr>
            <w:tcW w:w="80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111,254</w:t>
            </w:r>
          </w:p>
        </w:tc>
      </w:tr>
      <w:tr w:rsidR="00901641" w:rsidRPr="0006638D" w:rsidTr="0094482A">
        <w:tc>
          <w:tcPr>
            <w:tcW w:w="168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LN thuần từ HĐKD</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noProof/>
                <w:sz w:val="26"/>
                <w:szCs w:val="26"/>
              </w:rPr>
              <w:drawing>
                <wp:inline distT="0" distB="0" distL="0" distR="0">
                  <wp:extent cx="334010" cy="158750"/>
                  <wp:effectExtent l="19050" t="0" r="8890" b="0"/>
                  <wp:docPr id="20" name="Picture 37" descr="http://2.chart.apis.google.com/chart?cht=bvg&amp;chs=35x17&amp;chd=t:1274.00,11211.00,19245.00,20450.00&amp;chds=a&amp;chco=8CADC6|8CADC6|8CADC6|8CADC6&amp;chbh=a,0,3&amp;chxt=x,y&amp;chxs=0,000000,0,0,_,000000|1,000000,0,0,_,000000&amp;chma=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2.chart.apis.google.com/chart?cht=bvg&amp;chs=35x17&amp;chd=t:1274.00,11211.00,19245.00,20450.00&amp;chds=a&amp;chco=8CADC6|8CADC6|8CADC6|8CADC6&amp;chbh=a,0,3&amp;chxt=x,y&amp;chxs=0,000000,0,0,_,000000|1,000000,0,0,_,000000&amp;chma=0,0,2,0"/>
                          <pic:cNvPicPr>
                            <a:picLocks noChangeAspect="1" noChangeArrowheads="1"/>
                          </pic:cNvPicPr>
                        </pic:nvPicPr>
                        <pic:blipFill>
                          <a:blip r:embed="rId7" cstate="print"/>
                          <a:srcRect/>
                          <a:stretch>
                            <a:fillRect/>
                          </a:stretch>
                        </pic:blipFill>
                        <pic:spPr bwMode="auto">
                          <a:xfrm>
                            <a:off x="0" y="0"/>
                            <a:ext cx="334010" cy="158750"/>
                          </a:xfrm>
                          <a:prstGeom prst="rect">
                            <a:avLst/>
                          </a:prstGeom>
                          <a:noFill/>
                          <a:ln w="9525">
                            <a:noFill/>
                            <a:miter lim="800000"/>
                            <a:headEnd/>
                            <a:tailEnd/>
                          </a:ln>
                        </pic:spPr>
                      </pic:pic>
                    </a:graphicData>
                  </a:graphic>
                </wp:inline>
              </w:drawing>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1,274</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11,211</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19,245</w:t>
            </w:r>
          </w:p>
        </w:tc>
        <w:tc>
          <w:tcPr>
            <w:tcW w:w="80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20,450</w:t>
            </w:r>
          </w:p>
        </w:tc>
      </w:tr>
      <w:tr w:rsidR="00901641" w:rsidRPr="0006638D" w:rsidTr="0094482A">
        <w:tc>
          <w:tcPr>
            <w:tcW w:w="168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LNST thu nhập DN</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noProof/>
                <w:sz w:val="26"/>
                <w:szCs w:val="26"/>
              </w:rPr>
              <w:drawing>
                <wp:inline distT="0" distB="0" distL="0" distR="0">
                  <wp:extent cx="334010" cy="158750"/>
                  <wp:effectExtent l="19050" t="0" r="8890" b="0"/>
                  <wp:docPr id="21" name="Picture 38" descr="http://3.chart.apis.google.com/chart?cht=bvg&amp;chs=35x17&amp;chd=t:4016.00,4204.00,14820.00,15139.00&amp;chds=a&amp;chco=8CADC6|8CADC6|8CADC6|8CADC6&amp;chbh=a,0,3&amp;chxt=x,y&amp;chxs=0,000000,0,0,_,000000|1,000000,0,0,_,000000&amp;chma=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3.chart.apis.google.com/chart?cht=bvg&amp;chs=35x17&amp;chd=t:4016.00,4204.00,14820.00,15139.00&amp;chds=a&amp;chco=8CADC6|8CADC6|8CADC6|8CADC6&amp;chbh=a,0,3&amp;chxt=x,y&amp;chxs=0,000000,0,0,_,000000|1,000000,0,0,_,000000&amp;chma=0,0,2,0"/>
                          <pic:cNvPicPr>
                            <a:picLocks noChangeAspect="1" noChangeArrowheads="1"/>
                          </pic:cNvPicPr>
                        </pic:nvPicPr>
                        <pic:blipFill>
                          <a:blip r:embed="rId8" cstate="print"/>
                          <a:srcRect/>
                          <a:stretch>
                            <a:fillRect/>
                          </a:stretch>
                        </pic:blipFill>
                        <pic:spPr bwMode="auto">
                          <a:xfrm>
                            <a:off x="0" y="0"/>
                            <a:ext cx="334010" cy="158750"/>
                          </a:xfrm>
                          <a:prstGeom prst="rect">
                            <a:avLst/>
                          </a:prstGeom>
                          <a:noFill/>
                          <a:ln w="9525">
                            <a:noFill/>
                            <a:miter lim="800000"/>
                            <a:headEnd/>
                            <a:tailEnd/>
                          </a:ln>
                        </pic:spPr>
                      </pic:pic>
                    </a:graphicData>
                  </a:graphic>
                </wp:inline>
              </w:drawing>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4,016</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4,204</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14,820</w:t>
            </w:r>
          </w:p>
        </w:tc>
        <w:tc>
          <w:tcPr>
            <w:tcW w:w="80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15,139</w:t>
            </w:r>
          </w:p>
        </w:tc>
      </w:tr>
      <w:tr w:rsidR="00901641" w:rsidRPr="0006638D" w:rsidTr="0094482A">
        <w:tc>
          <w:tcPr>
            <w:tcW w:w="168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LNST của CĐ cty mẹ</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noProof/>
                <w:sz w:val="26"/>
                <w:szCs w:val="26"/>
              </w:rPr>
              <w:drawing>
                <wp:inline distT="0" distB="0" distL="0" distR="0">
                  <wp:extent cx="334010" cy="158750"/>
                  <wp:effectExtent l="19050" t="0" r="8890" b="0"/>
                  <wp:docPr id="22" name="Picture 39" descr="http://4.chart.apis.google.com/chart?cht=bvg&amp;chs=35x17&amp;chd=t:4017.00,2336.00,12100.00,11599.00&amp;chds=a&amp;chco=8CADC6|8CADC6|8CADC6|8CADC6&amp;chbh=a,0,3&amp;chxt=x,y&amp;chxs=0,000000,0,0,_,000000|1,000000,0,0,_,000000&amp;chma=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4.chart.apis.google.com/chart?cht=bvg&amp;chs=35x17&amp;chd=t:4017.00,2336.00,12100.00,11599.00&amp;chds=a&amp;chco=8CADC6|8CADC6|8CADC6|8CADC6&amp;chbh=a,0,3&amp;chxt=x,y&amp;chxs=0,000000,0,0,_,000000|1,000000,0,0,_,000000&amp;chma=0,0,2,0"/>
                          <pic:cNvPicPr>
                            <a:picLocks noChangeAspect="1" noChangeArrowheads="1"/>
                          </pic:cNvPicPr>
                        </pic:nvPicPr>
                        <pic:blipFill>
                          <a:blip r:embed="rId9" cstate="print"/>
                          <a:srcRect/>
                          <a:stretch>
                            <a:fillRect/>
                          </a:stretch>
                        </pic:blipFill>
                        <pic:spPr bwMode="auto">
                          <a:xfrm>
                            <a:off x="0" y="0"/>
                            <a:ext cx="334010" cy="158750"/>
                          </a:xfrm>
                          <a:prstGeom prst="rect">
                            <a:avLst/>
                          </a:prstGeom>
                          <a:noFill/>
                          <a:ln w="9525">
                            <a:noFill/>
                            <a:miter lim="800000"/>
                            <a:headEnd/>
                            <a:tailEnd/>
                          </a:ln>
                        </pic:spPr>
                      </pic:pic>
                    </a:graphicData>
                  </a:graphic>
                </wp:inline>
              </w:drawing>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4,017</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2,336</w:t>
            </w:r>
          </w:p>
        </w:tc>
        <w:tc>
          <w:tcPr>
            <w:tcW w:w="0" w:type="auto"/>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12,100</w:t>
            </w:r>
          </w:p>
        </w:tc>
        <w:tc>
          <w:tcPr>
            <w:tcW w:w="800" w:type="pct"/>
            <w:shd w:val="clear" w:color="auto" w:fill="FFFFFF"/>
            <w:tcMar>
              <w:top w:w="50" w:type="dxa"/>
              <w:left w:w="0" w:type="dxa"/>
              <w:bottom w:w="50" w:type="dxa"/>
              <w:right w:w="25"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r w:rsidRPr="0006638D">
              <w:rPr>
                <w:rFonts w:ascii="Times New Roman" w:eastAsia="Times New Roman" w:hAnsi="Times New Roman" w:cs="Times New Roman"/>
                <w:sz w:val="26"/>
                <w:szCs w:val="26"/>
              </w:rPr>
              <w:t>11,599</w:t>
            </w:r>
          </w:p>
        </w:tc>
      </w:tr>
    </w:tbl>
    <w:p w:rsidR="00901641" w:rsidRPr="0006638D" w:rsidRDefault="00901641" w:rsidP="00901641">
      <w:pPr>
        <w:pStyle w:val="ListParagraph"/>
        <w:spacing w:line="360" w:lineRule="auto"/>
        <w:ind w:right="-377"/>
        <w:jc w:val="both"/>
        <w:rPr>
          <w:rFonts w:ascii="Times New Roman" w:hAnsi="Times New Roman" w:cs="Times New Roman"/>
          <w:sz w:val="26"/>
          <w:szCs w:val="26"/>
          <w:u w:val="single"/>
        </w:rPr>
      </w:pPr>
    </w:p>
    <w:p w:rsidR="00901641" w:rsidRPr="0006638D" w:rsidRDefault="00901641" w:rsidP="00901641">
      <w:pPr>
        <w:pStyle w:val="ListParagraph"/>
        <w:spacing w:line="360" w:lineRule="auto"/>
        <w:ind w:right="-377"/>
        <w:jc w:val="both"/>
        <w:rPr>
          <w:rFonts w:ascii="Times New Roman" w:hAnsi="Times New Roman" w:cs="Times New Roman"/>
          <w:sz w:val="26"/>
          <w:szCs w:val="26"/>
        </w:rPr>
      </w:pPr>
      <w:r w:rsidRPr="0006638D">
        <w:rPr>
          <w:rFonts w:ascii="Times New Roman" w:hAnsi="Times New Roman" w:cs="Times New Roman"/>
          <w:sz w:val="26"/>
          <w:szCs w:val="26"/>
        </w:rPr>
        <w:t xml:space="preserve">Qua bảng báo cáo kết quả hoạt động kinh doanh của công ty ta thấy được rằng lợi nhuận sau thuế của công ty giảm dần từ năm 2011 đến năm 2014.Cụ thể năm 2014 giảm 188 tỷ đồng so với năm 2013.Chính vì kinh doanh thua lỗ nên Công ty đã trốn </w:t>
      </w:r>
      <w:proofErr w:type="gramStart"/>
      <w:r w:rsidRPr="0006638D">
        <w:rPr>
          <w:rFonts w:ascii="Times New Roman" w:hAnsi="Times New Roman" w:cs="Times New Roman"/>
          <w:sz w:val="26"/>
          <w:szCs w:val="26"/>
        </w:rPr>
        <w:t>BHXH.</w:t>
      </w:r>
      <w:proofErr w:type="gramEnd"/>
    </w:p>
    <w:tbl>
      <w:tblPr>
        <w:tblW w:w="5000" w:type="pct"/>
        <w:shd w:val="clear" w:color="auto" w:fill="FFFFFF"/>
        <w:tblCellMar>
          <w:left w:w="0" w:type="dxa"/>
          <w:right w:w="0" w:type="dxa"/>
        </w:tblCellMar>
        <w:tblLook w:val="04A0"/>
      </w:tblPr>
      <w:tblGrid>
        <w:gridCol w:w="9360"/>
      </w:tblGrid>
      <w:tr w:rsidR="00901641" w:rsidRPr="0006638D" w:rsidTr="0094482A">
        <w:tc>
          <w:tcPr>
            <w:tcW w:w="0" w:type="auto"/>
            <w:shd w:val="clear" w:color="auto" w:fill="FFFFFF"/>
            <w:tcMar>
              <w:top w:w="63" w:type="dxa"/>
              <w:left w:w="0" w:type="dxa"/>
              <w:bottom w:w="0" w:type="dxa"/>
              <w:right w:w="0" w:type="dxa"/>
            </w:tcMar>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p>
        </w:tc>
      </w:tr>
      <w:tr w:rsidR="00901641" w:rsidRPr="0006638D" w:rsidTr="0094482A">
        <w:tc>
          <w:tcPr>
            <w:tcW w:w="5000" w:type="pct"/>
            <w:shd w:val="clear" w:color="auto" w:fill="FFFFFF"/>
            <w:tcMar>
              <w:top w:w="13" w:type="dxa"/>
              <w:left w:w="0" w:type="dxa"/>
              <w:bottom w:w="0" w:type="dxa"/>
              <w:right w:w="0" w:type="dxa"/>
            </w:tcMar>
            <w:vAlign w:val="center"/>
            <w:hideMark/>
          </w:tcPr>
          <w:tbl>
            <w:tblPr>
              <w:tblW w:w="5000" w:type="pct"/>
              <w:tblCellMar>
                <w:left w:w="0" w:type="dxa"/>
                <w:right w:w="0" w:type="dxa"/>
              </w:tblCellMar>
              <w:tblLook w:val="04A0"/>
            </w:tblPr>
            <w:tblGrid>
              <w:gridCol w:w="9360"/>
            </w:tblGrid>
            <w:tr w:rsidR="00901641" w:rsidRPr="0006638D" w:rsidTr="0094482A">
              <w:tc>
                <w:tcPr>
                  <w:tcW w:w="7200" w:type="dxa"/>
                  <w:shd w:val="clear" w:color="auto" w:fill="F2F8FC"/>
                  <w:vAlign w:val="center"/>
                  <w:hideMark/>
                </w:tcPr>
                <w:p w:rsidR="00901641" w:rsidRPr="0006638D" w:rsidRDefault="00901641" w:rsidP="00901641">
                  <w:pPr>
                    <w:spacing w:after="0" w:line="360" w:lineRule="auto"/>
                    <w:jc w:val="both"/>
                    <w:rPr>
                      <w:rFonts w:ascii="Times New Roman" w:eastAsia="Times New Roman" w:hAnsi="Times New Roman" w:cs="Times New Roman"/>
                      <w:sz w:val="26"/>
                      <w:szCs w:val="26"/>
                    </w:rPr>
                  </w:pPr>
                </w:p>
              </w:tc>
            </w:tr>
          </w:tbl>
          <w:p w:rsidR="00901641" w:rsidRPr="0006638D" w:rsidRDefault="00901641" w:rsidP="00901641">
            <w:pPr>
              <w:spacing w:after="0" w:line="360" w:lineRule="auto"/>
              <w:jc w:val="both"/>
              <w:rPr>
                <w:rFonts w:ascii="Times New Roman" w:eastAsia="Times New Roman" w:hAnsi="Times New Roman" w:cs="Times New Roman"/>
                <w:sz w:val="26"/>
                <w:szCs w:val="26"/>
              </w:rPr>
            </w:pPr>
          </w:p>
        </w:tc>
      </w:tr>
    </w:tbl>
    <w:p w:rsidR="00901641" w:rsidRPr="0006638D" w:rsidRDefault="00901641" w:rsidP="00901641">
      <w:pPr>
        <w:pStyle w:val="ListParagraph"/>
        <w:numPr>
          <w:ilvl w:val="0"/>
          <w:numId w:val="1"/>
        </w:numPr>
        <w:spacing w:line="360" w:lineRule="auto"/>
        <w:ind w:right="-377"/>
        <w:jc w:val="both"/>
        <w:rPr>
          <w:rFonts w:ascii="Times New Roman" w:hAnsi="Times New Roman" w:cs="Times New Roman"/>
          <w:sz w:val="26"/>
          <w:szCs w:val="26"/>
        </w:rPr>
      </w:pPr>
      <w:r w:rsidRPr="0006638D">
        <w:rPr>
          <w:rFonts w:ascii="Times New Roman" w:hAnsi="Times New Roman" w:cs="Times New Roman"/>
          <w:sz w:val="26"/>
          <w:szCs w:val="26"/>
        </w:rPr>
        <w:t xml:space="preserve">Nợ đọng BHXH, BHYT đồng nghĩa với việc hàng chục nghìn lao động đang bị chính doanh </w:t>
      </w:r>
      <w:proofErr w:type="gramStart"/>
      <w:r w:rsidRPr="0006638D">
        <w:rPr>
          <w:rFonts w:ascii="Times New Roman" w:hAnsi="Times New Roman" w:cs="Times New Roman"/>
          <w:sz w:val="26"/>
          <w:szCs w:val="26"/>
        </w:rPr>
        <w:t>nghiệp  của</w:t>
      </w:r>
      <w:proofErr w:type="gramEnd"/>
      <w:r w:rsidRPr="0006638D">
        <w:rPr>
          <w:rFonts w:ascii="Times New Roman" w:hAnsi="Times New Roman" w:cs="Times New Roman"/>
          <w:sz w:val="26"/>
          <w:szCs w:val="26"/>
        </w:rPr>
        <w:t xml:space="preserve"> mình cắt đi quyền lợi chính đáng mà lẽ ra họ được hưởng. </w:t>
      </w:r>
    </w:p>
    <w:p w:rsidR="00901641" w:rsidRPr="0006638D" w:rsidRDefault="00901641" w:rsidP="00901641">
      <w:pPr>
        <w:pStyle w:val="ListParagraph"/>
        <w:numPr>
          <w:ilvl w:val="0"/>
          <w:numId w:val="1"/>
        </w:numPr>
        <w:spacing w:line="360" w:lineRule="auto"/>
        <w:ind w:right="-377"/>
        <w:jc w:val="both"/>
        <w:rPr>
          <w:rFonts w:ascii="Times New Roman" w:hAnsi="Times New Roman" w:cs="Times New Roman"/>
          <w:sz w:val="26"/>
          <w:szCs w:val="26"/>
        </w:rPr>
      </w:pPr>
      <w:r w:rsidRPr="0006638D">
        <w:rPr>
          <w:rFonts w:ascii="Times New Roman" w:hAnsi="Times New Roman" w:cs="Times New Roman"/>
          <w:sz w:val="26"/>
          <w:szCs w:val="26"/>
        </w:rPr>
        <w:t xml:space="preserve">Tình trạng nợ đọng BHXH, BHYT không phải là vấn đề mới ở Đà Nẵng mà đã tiếp diễn trong nhiều năm trở lại đây. Tuy nhiên, nhiều lao động lại không hề hay biết mình chưa được đơn vị nộp BHXH bởi hàng tháng các đơn vị này vẫn trích trừ % nộp BHXH của các nhân viên, tuy nhiên không nộp vào đơn vị BHXH mà chiếm dụng luôn. Vì vậy, chỉ khi cần đến quyền lợi, đi làm chế độ thì nhiều người mới hay mình không được giải quyết chỉ vì chủ sử dụng lao động chưa nộp BHXH cho </w:t>
      </w:r>
      <w:proofErr w:type="gramStart"/>
      <w:r w:rsidRPr="0006638D">
        <w:rPr>
          <w:rFonts w:ascii="Times New Roman" w:hAnsi="Times New Roman" w:cs="Times New Roman"/>
          <w:sz w:val="26"/>
          <w:szCs w:val="26"/>
        </w:rPr>
        <w:t>họ .</w:t>
      </w:r>
      <w:proofErr w:type="gramEnd"/>
    </w:p>
    <w:p w:rsidR="00901641" w:rsidRPr="0006638D" w:rsidRDefault="00901641" w:rsidP="00901641">
      <w:pPr>
        <w:pStyle w:val="ListParagraph"/>
        <w:numPr>
          <w:ilvl w:val="0"/>
          <w:numId w:val="1"/>
        </w:numPr>
        <w:spacing w:line="360" w:lineRule="auto"/>
        <w:ind w:right="-377"/>
        <w:jc w:val="both"/>
        <w:rPr>
          <w:rFonts w:ascii="Times New Roman" w:hAnsi="Times New Roman" w:cs="Times New Roman"/>
          <w:sz w:val="26"/>
          <w:szCs w:val="26"/>
        </w:rPr>
      </w:pPr>
      <w:r w:rsidRPr="0006638D">
        <w:rPr>
          <w:rFonts w:ascii="Times New Roman" w:hAnsi="Times New Roman" w:cs="Times New Roman"/>
          <w:sz w:val="26"/>
          <w:szCs w:val="26"/>
        </w:rPr>
        <w:t>Bên cạnh một số đơn vị chậm nộp BHXH, BHYT cho lao động vì thực sự khó khăn do hoạt động kinh doanh, sản xuất không hiệu quả thì có không ít đơn vị có chủ đích trốn đóng, nợ đọng BHXH, BHYT kéo dài với mục đích chiếm dụng làm ảnh hưởng nghiêm trọng đến quyền lợi chính đáng của người lao động, vi phạm pháp luật lao động.</w:t>
      </w:r>
    </w:p>
    <w:p w:rsidR="00901641" w:rsidRPr="0006638D" w:rsidRDefault="00901641" w:rsidP="00901641">
      <w:pPr>
        <w:pStyle w:val="ListParagraph"/>
        <w:numPr>
          <w:ilvl w:val="0"/>
          <w:numId w:val="1"/>
        </w:numPr>
        <w:spacing w:line="360" w:lineRule="auto"/>
        <w:ind w:right="-377"/>
        <w:jc w:val="both"/>
        <w:rPr>
          <w:rFonts w:ascii="Times New Roman" w:hAnsi="Times New Roman" w:cs="Times New Roman"/>
          <w:sz w:val="26"/>
          <w:szCs w:val="26"/>
        </w:rPr>
      </w:pPr>
      <w:r w:rsidRPr="0006638D">
        <w:rPr>
          <w:rFonts w:ascii="Times New Roman" w:hAnsi="Times New Roman" w:cs="Times New Roman"/>
          <w:sz w:val="26"/>
          <w:szCs w:val="26"/>
        </w:rPr>
        <w:t xml:space="preserve">Có 31 </w:t>
      </w:r>
      <w:proofErr w:type="gramStart"/>
      <w:r w:rsidRPr="0006638D">
        <w:rPr>
          <w:rFonts w:ascii="Times New Roman" w:hAnsi="Times New Roman" w:cs="Times New Roman"/>
          <w:sz w:val="26"/>
          <w:szCs w:val="26"/>
        </w:rPr>
        <w:t>đơn</w:t>
      </w:r>
      <w:proofErr w:type="gramEnd"/>
      <w:r w:rsidRPr="0006638D">
        <w:rPr>
          <w:rFonts w:ascii="Times New Roman" w:hAnsi="Times New Roman" w:cs="Times New Roman"/>
          <w:sz w:val="26"/>
          <w:szCs w:val="26"/>
        </w:rPr>
        <w:t xml:space="preserve"> vị nợ đọng BHXH đang trong quá trình tòa thụ lý. </w:t>
      </w:r>
    </w:p>
    <w:p w:rsidR="00901641" w:rsidRPr="0006638D" w:rsidRDefault="00901641" w:rsidP="00901641">
      <w:pPr>
        <w:spacing w:line="360" w:lineRule="auto"/>
        <w:ind w:left="720" w:right="-377"/>
        <w:jc w:val="both"/>
        <w:rPr>
          <w:rFonts w:ascii="Times New Roman" w:hAnsi="Times New Roman" w:cs="Times New Roman"/>
          <w:sz w:val="26"/>
          <w:szCs w:val="26"/>
        </w:rPr>
      </w:pPr>
      <w:r w:rsidRPr="0006638D">
        <w:rPr>
          <w:rFonts w:ascii="Times New Roman" w:hAnsi="Times New Roman" w:cs="Times New Roman"/>
          <w:sz w:val="26"/>
          <w:szCs w:val="26"/>
          <w:u w:val="single"/>
        </w:rPr>
        <w:t xml:space="preserve">Bảng </w:t>
      </w:r>
      <w:r>
        <w:rPr>
          <w:rFonts w:ascii="Times New Roman" w:hAnsi="Times New Roman" w:cs="Times New Roman"/>
          <w:sz w:val="26"/>
          <w:szCs w:val="26"/>
          <w:u w:val="single"/>
        </w:rPr>
        <w:t>4</w:t>
      </w:r>
      <w:r w:rsidRPr="0006638D">
        <w:rPr>
          <w:rFonts w:ascii="Times New Roman" w:hAnsi="Times New Roman" w:cs="Times New Roman"/>
          <w:sz w:val="26"/>
          <w:szCs w:val="26"/>
        </w:rPr>
        <w:t>: Các công ty nợ đọng BHXH đang trong quá trình tòa thụ lý</w:t>
      </w:r>
    </w:p>
    <w:p w:rsidR="00901641" w:rsidRPr="0006638D" w:rsidRDefault="00901641" w:rsidP="00901641">
      <w:pPr>
        <w:spacing w:line="360" w:lineRule="auto"/>
        <w:ind w:left="6480" w:right="-377" w:firstLine="720"/>
        <w:jc w:val="both"/>
        <w:rPr>
          <w:rFonts w:ascii="Times New Roman" w:hAnsi="Times New Roman" w:cs="Times New Roman"/>
          <w:sz w:val="26"/>
          <w:szCs w:val="26"/>
        </w:rPr>
      </w:pPr>
      <w:r w:rsidRPr="0006638D">
        <w:rPr>
          <w:rFonts w:ascii="Times New Roman" w:hAnsi="Times New Roman" w:cs="Times New Roman"/>
          <w:sz w:val="26"/>
          <w:szCs w:val="26"/>
          <w:u w:val="single"/>
        </w:rPr>
        <w:t>Đơn vị</w:t>
      </w:r>
      <w:r w:rsidRPr="0006638D">
        <w:rPr>
          <w:rFonts w:ascii="Times New Roman" w:hAnsi="Times New Roman" w:cs="Times New Roman"/>
          <w:sz w:val="26"/>
          <w:szCs w:val="26"/>
        </w:rPr>
        <w:t>: Tỷ đồng</w:t>
      </w:r>
    </w:p>
    <w:tbl>
      <w:tblPr>
        <w:tblStyle w:val="TableGrid"/>
        <w:tblW w:w="0" w:type="auto"/>
        <w:tblInd w:w="288" w:type="dxa"/>
        <w:tblLook w:val="04A0"/>
      </w:tblPr>
      <w:tblGrid>
        <w:gridCol w:w="1219"/>
        <w:gridCol w:w="6042"/>
        <w:gridCol w:w="1530"/>
      </w:tblGrid>
      <w:tr w:rsidR="00901641" w:rsidRPr="006D4ADF" w:rsidTr="0094482A">
        <w:trPr>
          <w:trHeight w:val="300"/>
        </w:trPr>
        <w:tc>
          <w:tcPr>
            <w:tcW w:w="1219"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STT</w:t>
            </w:r>
          </w:p>
        </w:tc>
        <w:tc>
          <w:tcPr>
            <w:tcW w:w="6042"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Tên Công Ty</w:t>
            </w:r>
          </w:p>
        </w:tc>
        <w:tc>
          <w:tcPr>
            <w:tcW w:w="1530"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Số tiền nợ</w:t>
            </w:r>
          </w:p>
        </w:tc>
      </w:tr>
      <w:tr w:rsidR="00901641" w:rsidRPr="006D4ADF" w:rsidTr="0094482A">
        <w:trPr>
          <w:trHeight w:val="300"/>
        </w:trPr>
        <w:tc>
          <w:tcPr>
            <w:tcW w:w="1219"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w:t>
            </w:r>
          </w:p>
        </w:tc>
        <w:tc>
          <w:tcPr>
            <w:tcW w:w="6042"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Cổ phần năng lượng và nồi hơi Miền Trung</w:t>
            </w:r>
          </w:p>
        </w:tc>
        <w:tc>
          <w:tcPr>
            <w:tcW w:w="1530"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0.785</w:t>
            </w:r>
          </w:p>
        </w:tc>
      </w:tr>
      <w:tr w:rsidR="00901641" w:rsidRPr="006D4ADF" w:rsidTr="0094482A">
        <w:trPr>
          <w:trHeight w:val="300"/>
        </w:trPr>
        <w:tc>
          <w:tcPr>
            <w:tcW w:w="1219"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w:t>
            </w:r>
          </w:p>
        </w:tc>
        <w:tc>
          <w:tcPr>
            <w:tcW w:w="6042"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Công ty Cổ phần máy và thiết bị phụ tùng</w:t>
            </w:r>
          </w:p>
        </w:tc>
        <w:tc>
          <w:tcPr>
            <w:tcW w:w="1530"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0.905</w:t>
            </w:r>
          </w:p>
        </w:tc>
      </w:tr>
      <w:tr w:rsidR="00901641" w:rsidRPr="006D4ADF" w:rsidTr="0094482A">
        <w:trPr>
          <w:trHeight w:val="300"/>
        </w:trPr>
        <w:tc>
          <w:tcPr>
            <w:tcW w:w="1219"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3</w:t>
            </w:r>
          </w:p>
        </w:tc>
        <w:tc>
          <w:tcPr>
            <w:tcW w:w="6042"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Cty CP Đầu tư xây dựng công trình đô thị Đà Nẵng</w:t>
            </w:r>
          </w:p>
        </w:tc>
        <w:tc>
          <w:tcPr>
            <w:tcW w:w="1530"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1.4</w:t>
            </w:r>
          </w:p>
        </w:tc>
      </w:tr>
      <w:tr w:rsidR="00901641" w:rsidRPr="006D4ADF" w:rsidTr="0094482A">
        <w:trPr>
          <w:trHeight w:val="300"/>
        </w:trPr>
        <w:tc>
          <w:tcPr>
            <w:tcW w:w="1219"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lastRenderedPageBreak/>
              <w:t>4</w:t>
            </w:r>
          </w:p>
        </w:tc>
        <w:tc>
          <w:tcPr>
            <w:tcW w:w="6042"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Cty CP Tư vấn xây dựng 533</w:t>
            </w:r>
          </w:p>
        </w:tc>
        <w:tc>
          <w:tcPr>
            <w:tcW w:w="1530"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w:t>
            </w:r>
          </w:p>
        </w:tc>
      </w:tr>
      <w:tr w:rsidR="00901641" w:rsidRPr="006D4ADF" w:rsidTr="0094482A">
        <w:trPr>
          <w:trHeight w:val="300"/>
        </w:trPr>
        <w:tc>
          <w:tcPr>
            <w:tcW w:w="1219"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5</w:t>
            </w:r>
          </w:p>
        </w:tc>
        <w:tc>
          <w:tcPr>
            <w:tcW w:w="6042"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Cty Cơ khí ô tô và thiết bị điện Đà Nẵng</w:t>
            </w:r>
          </w:p>
        </w:tc>
        <w:tc>
          <w:tcPr>
            <w:tcW w:w="1530" w:type="dxa"/>
            <w:noWrap/>
            <w:hideMark/>
          </w:tcPr>
          <w:p w:rsidR="00901641" w:rsidRPr="006D4ADF" w:rsidRDefault="00901641" w:rsidP="00901641">
            <w:pPr>
              <w:spacing w:line="360" w:lineRule="auto"/>
              <w:jc w:val="both"/>
              <w:rPr>
                <w:rFonts w:eastAsia="Times New Roman" w:cs="Times New Roman"/>
                <w:color w:val="000000"/>
                <w:sz w:val="26"/>
                <w:szCs w:val="26"/>
              </w:rPr>
            </w:pPr>
            <w:r w:rsidRPr="006D4ADF">
              <w:rPr>
                <w:rFonts w:eastAsia="Times New Roman" w:cs="Times New Roman"/>
                <w:color w:val="000000"/>
                <w:sz w:val="26"/>
                <w:szCs w:val="26"/>
              </w:rPr>
              <w:t>2.664</w:t>
            </w:r>
          </w:p>
        </w:tc>
      </w:tr>
    </w:tbl>
    <w:p w:rsidR="00901641" w:rsidRDefault="00901641" w:rsidP="00901641">
      <w:pPr>
        <w:pStyle w:val="ListParagraph"/>
        <w:spacing w:line="360" w:lineRule="auto"/>
        <w:ind w:right="-377"/>
        <w:jc w:val="both"/>
        <w:rPr>
          <w:rFonts w:ascii="Times New Roman" w:hAnsi="Times New Roman" w:cs="Times New Roman"/>
          <w:sz w:val="26"/>
          <w:szCs w:val="26"/>
        </w:rPr>
      </w:pPr>
    </w:p>
    <w:p w:rsidR="00901641" w:rsidRPr="006D4ADF" w:rsidRDefault="00901641" w:rsidP="00901641">
      <w:pPr>
        <w:spacing w:line="360" w:lineRule="auto"/>
        <w:ind w:right="-377"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D4ADF">
        <w:rPr>
          <w:rFonts w:ascii="Times New Roman" w:hAnsi="Times New Roman" w:cs="Times New Roman"/>
          <w:sz w:val="26"/>
          <w:szCs w:val="26"/>
        </w:rPr>
        <w:t xml:space="preserve">Hầu hết các Doanh nghiệp đều </w:t>
      </w:r>
      <w:proofErr w:type="gramStart"/>
      <w:r w:rsidRPr="006D4ADF">
        <w:rPr>
          <w:rFonts w:ascii="Times New Roman" w:hAnsi="Times New Roman" w:cs="Times New Roman"/>
          <w:sz w:val="26"/>
          <w:szCs w:val="26"/>
        </w:rPr>
        <w:t>không  nộp</w:t>
      </w:r>
      <w:proofErr w:type="gramEnd"/>
      <w:r w:rsidRPr="006D4ADF">
        <w:rPr>
          <w:rFonts w:ascii="Times New Roman" w:hAnsi="Times New Roman" w:cs="Times New Roman"/>
          <w:sz w:val="26"/>
          <w:szCs w:val="26"/>
        </w:rPr>
        <w:t xml:space="preserve"> BHXH vì kinh doanh thua lỗ.</w:t>
      </w:r>
    </w:p>
    <w:p w:rsidR="00901641" w:rsidRPr="0006638D" w:rsidRDefault="00901641" w:rsidP="00901641">
      <w:pPr>
        <w:pStyle w:val="ListParagraph"/>
        <w:numPr>
          <w:ilvl w:val="0"/>
          <w:numId w:val="1"/>
        </w:numPr>
        <w:spacing w:line="360" w:lineRule="auto"/>
        <w:ind w:right="-377"/>
        <w:jc w:val="both"/>
        <w:rPr>
          <w:rFonts w:ascii="Times New Roman" w:hAnsi="Times New Roman" w:cs="Times New Roman"/>
          <w:sz w:val="26"/>
          <w:szCs w:val="26"/>
        </w:rPr>
      </w:pPr>
      <w:r w:rsidRPr="0006638D">
        <w:rPr>
          <w:rFonts w:ascii="Times New Roman" w:hAnsi="Times New Roman" w:cs="Times New Roman"/>
          <w:sz w:val="26"/>
          <w:szCs w:val="26"/>
        </w:rPr>
        <w:t>Thời gian qua, BHXH Đà Nẵng đã phối hợp với các ban ngành liên quan tổ chức các đợt thanh, kiểm tra tình hình nợ đọng ở một số đơn vị, tuy nhiên hiệu quả chưa được như mong đợi</w:t>
      </w:r>
    </w:p>
    <w:p w:rsidR="00901641" w:rsidRPr="0006638D" w:rsidRDefault="00901641" w:rsidP="00901641">
      <w:pPr>
        <w:pStyle w:val="ListParagraph"/>
        <w:numPr>
          <w:ilvl w:val="0"/>
          <w:numId w:val="1"/>
        </w:numPr>
        <w:spacing w:line="360" w:lineRule="auto"/>
        <w:ind w:right="-377"/>
        <w:jc w:val="both"/>
        <w:rPr>
          <w:rFonts w:ascii="Times New Roman" w:hAnsi="Times New Roman" w:cs="Times New Roman"/>
          <w:sz w:val="26"/>
          <w:szCs w:val="26"/>
        </w:rPr>
      </w:pPr>
      <w:r w:rsidRPr="0006638D">
        <w:rPr>
          <w:rFonts w:ascii="Times New Roman" w:hAnsi="Times New Roman" w:cs="Times New Roman"/>
          <w:sz w:val="26"/>
          <w:szCs w:val="26"/>
        </w:rPr>
        <w:t xml:space="preserve">Trong khi vẫn chưa có một giải pháp nào gọi là hữu hiệu trong việc giải quyết tình trạng nợ đọng BHXH, BHYT trong những năm trở lại đây thì hiệu quả từ việc khởi kiện các đơn vị cố tình chây ì trong việc chậm nộp BHXH, BHYT cũng có thể xem là những tín hiệu khả quan hơn. Tuy nhiên, những người làm công tác thu ở BHXH Đà Nẵng cho rằng, chế tài xử phạt vẫn còn quá nhẹ, chưa đủ sức giải quyết dứt điểm tình trạng nợ đọng, dây dưa kéo dài ở các đơn vị nhất là khi quyền lợi của người lao động ngày càng bị ảnh hưởng. Cần phải có một giải pháp mạnh </w:t>
      </w:r>
      <w:proofErr w:type="gramStart"/>
      <w:r w:rsidRPr="0006638D">
        <w:rPr>
          <w:rFonts w:ascii="Times New Roman" w:hAnsi="Times New Roman" w:cs="Times New Roman"/>
          <w:sz w:val="26"/>
          <w:szCs w:val="26"/>
        </w:rPr>
        <w:t>tay</w:t>
      </w:r>
      <w:proofErr w:type="gramEnd"/>
      <w:r w:rsidRPr="0006638D">
        <w:rPr>
          <w:rFonts w:ascii="Times New Roman" w:hAnsi="Times New Roman" w:cs="Times New Roman"/>
          <w:sz w:val="26"/>
          <w:szCs w:val="26"/>
        </w:rPr>
        <w:t xml:space="preserve"> hơn là điều cần thiết, có như vậy quyền lợi của công nhân lao động mới được đảm bảo.</w:t>
      </w:r>
      <w:r w:rsidR="00024AF3">
        <w:rPr>
          <w:rFonts w:ascii="Times New Roman" w:hAnsi="Times New Roman" w:cs="Times New Roman"/>
          <w:sz w:val="26"/>
          <w:szCs w:val="26"/>
        </w:rPr>
        <w:t>/.</w:t>
      </w:r>
    </w:p>
    <w:sectPr w:rsidR="00901641" w:rsidRPr="0006638D" w:rsidSect="00C02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B2C"/>
    <w:multiLevelType w:val="hybridMultilevel"/>
    <w:tmpl w:val="1C36BFD0"/>
    <w:lvl w:ilvl="0" w:tplc="C194C1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CD398B"/>
    <w:multiLevelType w:val="hybridMultilevel"/>
    <w:tmpl w:val="97D43A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Marlett" w:hAnsi="Marlett"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Marlett" w:hAnsi="Marlett"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Marlett" w:hAnsi="Marlett"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proofState w:grammar="clean"/>
  <w:defaultTabStop w:val="720"/>
  <w:characterSpacingControl w:val="doNotCompress"/>
  <w:compat/>
  <w:rsids>
    <w:rsidRoot w:val="00901641"/>
    <w:rsid w:val="00024AF3"/>
    <w:rsid w:val="00282638"/>
    <w:rsid w:val="00492A86"/>
    <w:rsid w:val="00901641"/>
    <w:rsid w:val="00A5109B"/>
    <w:rsid w:val="00C02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41"/>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1641"/>
    <w:pPr>
      <w:ind w:left="720"/>
      <w:contextualSpacing/>
    </w:pPr>
  </w:style>
  <w:style w:type="table" w:styleId="TableGrid">
    <w:name w:val="Table Grid"/>
    <w:basedOn w:val="TableNormal"/>
    <w:uiPriority w:val="59"/>
    <w:rsid w:val="00901641"/>
    <w:pPr>
      <w:spacing w:line="240" w:lineRule="auto"/>
      <w:jc w:val="left"/>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1090</Words>
  <Characters>6213</Characters>
  <Application>Microsoft Office Word</Application>
  <DocSecurity>0</DocSecurity>
  <Lines>51</Lines>
  <Paragraphs>14</Paragraphs>
  <ScaleCrop>false</ScaleCrop>
  <Company>Grizli777</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2</cp:revision>
  <dcterms:created xsi:type="dcterms:W3CDTF">2015-08-17T08:36:00Z</dcterms:created>
  <dcterms:modified xsi:type="dcterms:W3CDTF">2015-08-17T08:44:00Z</dcterms:modified>
</cp:coreProperties>
</file>