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FB3BA" w14:textId="77777777" w:rsidR="00AD53DE" w:rsidRPr="00722FF6" w:rsidRDefault="00C40A02" w:rsidP="00C40A02">
      <w:pPr>
        <w:jc w:val="center"/>
        <w:rPr>
          <w:rFonts w:ascii="tohoma" w:hAnsi="tohoma"/>
          <w:b/>
          <w:bCs/>
          <w:color w:val="294A7B"/>
          <w:sz w:val="20"/>
          <w:szCs w:val="20"/>
          <w:lang w:val="vi-VN"/>
        </w:rPr>
      </w:pPr>
      <w:r>
        <w:rPr>
          <w:rFonts w:ascii="tohoma" w:hAnsi="tohoma"/>
          <w:b/>
          <w:bCs/>
          <w:color w:val="294A7B"/>
          <w:sz w:val="20"/>
          <w:szCs w:val="20"/>
          <w:lang w:val="vi-VN"/>
        </w:rPr>
        <w:t xml:space="preserve">TỔNG HỢP CÁC </w:t>
      </w:r>
      <w:r w:rsidR="0012339A">
        <w:rPr>
          <w:rFonts w:ascii="tohoma" w:hAnsi="tohoma"/>
          <w:b/>
          <w:bCs/>
          <w:color w:val="294A7B"/>
          <w:sz w:val="20"/>
          <w:szCs w:val="20"/>
          <w:lang w:val="vi-VN"/>
        </w:rPr>
        <w:t xml:space="preserve">CÁO </w:t>
      </w:r>
      <w:r>
        <w:rPr>
          <w:rFonts w:ascii="tohoma" w:hAnsi="tohoma"/>
          <w:b/>
          <w:bCs/>
          <w:color w:val="294A7B"/>
          <w:sz w:val="20"/>
          <w:szCs w:val="20"/>
          <w:lang w:val="vi-VN"/>
        </w:rPr>
        <w:t xml:space="preserve">NGHIÊN CỨU VỀ </w:t>
      </w:r>
      <w:r w:rsidR="00A673CA">
        <w:rPr>
          <w:rFonts w:ascii="tohoma" w:hAnsi="tohoma"/>
          <w:b/>
          <w:bCs/>
          <w:color w:val="294A7B"/>
          <w:sz w:val="20"/>
          <w:szCs w:val="20"/>
          <w:lang w:val="vi-VN"/>
        </w:rPr>
        <w:t>NỢ CÔNG</w:t>
      </w:r>
      <w:r w:rsidR="004B66B5">
        <w:rPr>
          <w:rFonts w:ascii="tohoma" w:hAnsi="tohoma"/>
          <w:b/>
          <w:bCs/>
          <w:color w:val="294A7B"/>
          <w:sz w:val="20"/>
          <w:szCs w:val="20"/>
          <w:lang w:val="vi-VN"/>
        </w:rPr>
        <w:t xml:space="preserve"> CỦA</w:t>
      </w:r>
      <w:r w:rsidR="00BF0DAB" w:rsidRPr="00722FF6">
        <w:rPr>
          <w:rFonts w:ascii="tohoma" w:hAnsi="tohoma"/>
          <w:b/>
          <w:bCs/>
          <w:color w:val="294A7B"/>
          <w:sz w:val="20"/>
          <w:szCs w:val="20"/>
          <w:lang w:val="vi-VN"/>
        </w:rPr>
        <w:t xml:space="preserve"> VIỆT NAM</w:t>
      </w:r>
      <w:r w:rsidR="004B66B5">
        <w:rPr>
          <w:rFonts w:ascii="tohoma" w:hAnsi="tohoma"/>
          <w:b/>
          <w:bCs/>
          <w:color w:val="294A7B"/>
          <w:sz w:val="20"/>
          <w:szCs w:val="20"/>
          <w:lang w:val="vi-VN"/>
        </w:rPr>
        <w:t xml:space="preserve"> 2017</w:t>
      </w:r>
    </w:p>
    <w:p w14:paraId="4AEECBCC" w14:textId="77777777" w:rsidR="00BF0DAB" w:rsidRPr="00722FF6" w:rsidRDefault="00BF0DAB" w:rsidP="00BF0DAB">
      <w:pPr>
        <w:jc w:val="center"/>
        <w:rPr>
          <w:rFonts w:ascii="tohoma" w:hAnsi="tohoma"/>
          <w:b/>
          <w:bCs/>
          <w:color w:val="294A7B"/>
          <w:sz w:val="20"/>
          <w:szCs w:val="20"/>
          <w:lang w:val="vi-VN"/>
        </w:rPr>
      </w:pPr>
    </w:p>
    <w:p w14:paraId="460D3A29" w14:textId="77777777" w:rsidR="00B766D9" w:rsidRPr="00722FF6" w:rsidRDefault="00B766D9" w:rsidP="00AD53DE">
      <w:pPr>
        <w:rPr>
          <w:rFonts w:ascii="tohoma" w:hAnsi="tohoma" w:cs="Tahoma"/>
          <w:bCs/>
          <w:color w:val="294A7B"/>
          <w:sz w:val="20"/>
          <w:szCs w:val="20"/>
          <w:lang w:val="vi-VN"/>
        </w:rPr>
      </w:pPr>
      <w:r w:rsidRPr="00722FF6">
        <w:rPr>
          <w:rFonts w:ascii="tohoma" w:hAnsi="tohoma"/>
          <w:bCs/>
          <w:color w:val="294A7B"/>
          <w:sz w:val="20"/>
          <w:szCs w:val="20"/>
          <w:lang w:val="vi-VN"/>
        </w:rPr>
        <w:t>Đỗ</w:t>
      </w:r>
      <w:r w:rsidRPr="00722FF6">
        <w:rPr>
          <w:rFonts w:ascii="tohoma" w:hAnsi="tohoma" w:cs="Tahoma"/>
          <w:bCs/>
          <w:color w:val="294A7B"/>
          <w:sz w:val="20"/>
          <w:szCs w:val="20"/>
          <w:lang w:val="vi-VN"/>
        </w:rPr>
        <w:t xml:space="preserve"> V</w:t>
      </w:r>
      <w:r w:rsidRPr="00722FF6">
        <w:rPr>
          <w:rFonts w:ascii="tohoma" w:hAnsi="tohoma"/>
          <w:bCs/>
          <w:color w:val="294A7B"/>
          <w:sz w:val="20"/>
          <w:szCs w:val="20"/>
          <w:lang w:val="vi-VN"/>
        </w:rPr>
        <w:t>ă</w:t>
      </w:r>
      <w:r w:rsidRPr="00722FF6">
        <w:rPr>
          <w:rFonts w:ascii="tohoma" w:hAnsi="tohoma" w:cs="Tahoma"/>
          <w:bCs/>
          <w:color w:val="294A7B"/>
          <w:sz w:val="20"/>
          <w:szCs w:val="20"/>
          <w:lang w:val="vi-VN"/>
        </w:rPr>
        <w:t>n Tính</w:t>
      </w:r>
    </w:p>
    <w:p w14:paraId="047D03B3" w14:textId="37D197F5" w:rsidR="00DB1F9C" w:rsidRPr="00D66299" w:rsidRDefault="00D66299" w:rsidP="00AD53DE">
      <w:pPr>
        <w:jc w:val="both"/>
        <w:rPr>
          <w:rFonts w:ascii="tohoma" w:hAnsi="tohoma"/>
          <w:b/>
          <w:bCs/>
          <w:i/>
          <w:sz w:val="20"/>
          <w:szCs w:val="20"/>
          <w:lang w:val="vi-VN"/>
        </w:rPr>
      </w:pPr>
      <w:r w:rsidRPr="00D66299">
        <w:rPr>
          <w:rFonts w:ascii="tohoma" w:hAnsi="tohoma"/>
          <w:b/>
          <w:bCs/>
          <w:i/>
          <w:sz w:val="20"/>
          <w:szCs w:val="20"/>
          <w:lang w:val="vi-VN"/>
        </w:rPr>
        <w:t>Lý thuyết về nợ công</w:t>
      </w:r>
    </w:p>
    <w:p w14:paraId="4B03A479"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công hay còn gọi là Nợ chính phủ hoặc Nợ quốc gia: là tổng giá trị các khoản tiền mà chính phủ thuộc mọi cấp từ trung ương đến địa phương đi vay. Thâm hụt hàng năm của chính phủ đề cập đến sự khác biệt giữa các khoản thu của chính phủ và chi tiêu trong một năm. Nợ công là sự tích lũy hàng năm thâm hụt ngân sách. Đó là kết quả của nhiều năm các nhà lãnh đạo chính phủ chi tiêu nhiều hơn họ có thông qua việc thu thuế.</w:t>
      </w:r>
    </w:p>
    <w:p w14:paraId="305839FA" w14:textId="39225829"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Việc phân loại nợ công dựa vào 2 tiêu chí: theo nguồn gốc và theo thời hạn của khoản nợ. </w:t>
      </w:r>
    </w:p>
    <w:p w14:paraId="43B50968"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Theo nguồn gốc</w:t>
      </w:r>
    </w:p>
    <w:p w14:paraId="1336AF9A"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trong nước: các khoản vay từ người cho vay trong nước. </w:t>
      </w:r>
    </w:p>
    <w:p w14:paraId="33FB7219"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nước ngoài: các khoản vay từ người cho vay nước ngoài. </w:t>
      </w:r>
    </w:p>
    <w:p w14:paraId="50550A0A"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Theo thời hạn của khoản nợ </w:t>
      </w:r>
    </w:p>
    <w:p w14:paraId="696EFD1E"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ngắn hạn: các khoản nợ có kì hạn dưới 1 năm. </w:t>
      </w:r>
    </w:p>
    <w:p w14:paraId="61F15FC8"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trung hạn: các khoản nợ có kì hạn từ 1 năm đến 10 năm. </w:t>
      </w:r>
    </w:p>
    <w:p w14:paraId="03F46D7A"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dài hạn: các khoản nợ có kì hạn trên 10 năm.</w:t>
      </w:r>
    </w:p>
    <w:p w14:paraId="5318916C" w14:textId="222556CC" w:rsidR="00E63084" w:rsidRPr="00D66299" w:rsidRDefault="00D66299" w:rsidP="00D66299">
      <w:pPr>
        <w:jc w:val="both"/>
        <w:rPr>
          <w:rFonts w:ascii="tohoma" w:hAnsi="tohoma"/>
          <w:bCs/>
          <w:i/>
          <w:sz w:val="20"/>
          <w:szCs w:val="20"/>
          <w:lang w:val="vi-VN"/>
        </w:rPr>
      </w:pPr>
      <w:bookmarkStart w:id="0" w:name="_Toc511330839"/>
      <w:r w:rsidRPr="00D66299">
        <w:rPr>
          <w:rFonts w:ascii="tohoma" w:hAnsi="tohoma"/>
          <w:bCs/>
          <w:i/>
          <w:sz w:val="20"/>
          <w:szCs w:val="20"/>
          <w:lang w:val="vi-VN"/>
        </w:rPr>
        <w:t>Đặc trưng cơ bản của nợ công</w:t>
      </w:r>
      <w:r w:rsidR="00E63084" w:rsidRPr="00D66299">
        <w:rPr>
          <w:rFonts w:ascii="tohoma" w:hAnsi="tohoma"/>
          <w:bCs/>
          <w:i/>
          <w:sz w:val="20"/>
          <w:szCs w:val="20"/>
          <w:lang w:val="vi-VN"/>
        </w:rPr>
        <w:t>:</w:t>
      </w:r>
      <w:bookmarkEnd w:id="0"/>
    </w:p>
    <w:p w14:paraId="708FCD99"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công, theo nghĩa rộng, là nghĩa vụ nợ của khu vực công, bao gồm các nghĩa vụ của Chính phủ trung ương, các cấp chính quyền địa phương, ngân hàng trung ương và các tổ chức độc lập (nguồn vốn hoạt động do ngân sách nhà nước quyết định hay trên 50% vốn thuộc sở hữu nhà nước và trong trường hợp vỡ nợ, nhà nước phải trả nợ thay). Theo nghĩa hẹp, nợ công bao gồm nghĩa vụ nợ của Chính phủ trung ương, các cấp chính quyền địa phương và nợ của các tổ chức độc lập được Chính phủ bảo lãnh thanh toán.</w:t>
      </w:r>
    </w:p>
    <w:p w14:paraId="57CF5FF7"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xml:space="preserve">Tuy có nhiều cách tiếp nhận rộng hẹp khác nhau về nợ công, nhưng về cơ bản nợ công có những đặc điểm sau: </w:t>
      </w:r>
    </w:p>
    <w:p w14:paraId="49A16A76"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Thứ nhất, nợ công là khoản nợ ràng buộc trách nhiệm trả nợ của nhà nước.</w:t>
      </w:r>
    </w:p>
    <w:p w14:paraId="507E01A4"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xml:space="preserve">- Thứ hai, nợ công được quản lý theo quy trình chặt chẽ với sự tham gia của cơ quan nhà nước có thẩm quyền. </w:t>
      </w:r>
    </w:p>
    <w:p w14:paraId="0D11C314"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Thứ ba, mục tiêu cao nhất trong việc huy động và sử dụng nợ công là phát triển kinh tế - xã hội vì lợi ích cộng đồng</w:t>
      </w:r>
    </w:p>
    <w:p w14:paraId="211DF09A" w14:textId="77777777" w:rsidR="00E63084" w:rsidRPr="00D66299" w:rsidRDefault="00E63084" w:rsidP="00D66299">
      <w:pPr>
        <w:jc w:val="both"/>
        <w:rPr>
          <w:rFonts w:ascii="tohoma" w:hAnsi="tohoma"/>
          <w:bCs/>
          <w:i/>
          <w:sz w:val="20"/>
          <w:szCs w:val="20"/>
          <w:lang w:val="vi-VN"/>
        </w:rPr>
      </w:pPr>
      <w:bookmarkStart w:id="1" w:name="_Toc511330840"/>
      <w:r w:rsidRPr="00D66299">
        <w:rPr>
          <w:rFonts w:ascii="tohoma" w:hAnsi="tohoma"/>
          <w:bCs/>
          <w:i/>
          <w:sz w:val="20"/>
          <w:szCs w:val="20"/>
          <w:lang w:val="vi-VN"/>
        </w:rPr>
        <w:t>Những tác động của nợ công:</w:t>
      </w:r>
      <w:bookmarkEnd w:id="1"/>
    </w:p>
    <w:p w14:paraId="14A413E6"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Những tác động tích cực chủ yếu của nợ công:</w:t>
      </w:r>
    </w:p>
    <w:p w14:paraId="759C0AC2"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công làm gia tăng nguồn lực cho Nhà nước, từ đó tăng cường nguồn vốn để phát triển cơ sở hạ tầng và tăng khả năng đầu tư đồng bộ của Nhà nước.</w:t>
      </w:r>
    </w:p>
    <w:p w14:paraId="7E55BB1F"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Huy động nợ công góp phần tận dụng được nguồn tài chính nhàn rỗi trong dân cư.</w:t>
      </w:r>
    </w:p>
    <w:p w14:paraId="39F87DD6"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xml:space="preserve">Nợ công sẽ tận dụng được sự hỗ trợ từ nước ngoài và các tổ chức tài chính quốc tế. </w:t>
      </w:r>
    </w:p>
    <w:p w14:paraId="0D005209"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 Những tác động tiêu cực chủ yếu của nợ công:</w:t>
      </w:r>
    </w:p>
    <w:p w14:paraId="6057EE32"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công sẽ gây áp lực lên chính sách tiền tệ, đặc biệt là từ các khoản tài trợ ngoài nước. Nếu kỷ luật tài chính của Nhà nước lỏng lẻo, nợ công sẽ tỏ ra kém hiệu quả và tình trạng tham nhũng, lãng phí sẽ tràn lan nếu thiếu cơ chế giám sát chặt chẽ việc sử dụng và quản lý nợ công.</w:t>
      </w:r>
    </w:p>
    <w:p w14:paraId="2859E695"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Vấn đề nợ công của Việt Nam rõ ràng đang gây ra hàng loạt các mối lo ngại từ quy mô, đến tính an toàn và khả năng tài trợ nợ công.</w:t>
      </w:r>
    </w:p>
    <w:p w14:paraId="1BEFA39E"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Nợ chính phủ sẽ có những tác động không nhỏ tới tăng trưởng kinh tế bởi nó có thể sẽ bị giảm xuống nếu các biện pháp can thiệp quá nhanh và quá mạnh, có thể làm vô hiệu những chính sách kinh tế vĩ mô.</w:t>
      </w:r>
    </w:p>
    <w:p w14:paraId="5364B4CC" w14:textId="77777777" w:rsidR="00E63084" w:rsidRPr="00D66299" w:rsidRDefault="00E63084" w:rsidP="00D66299">
      <w:pPr>
        <w:jc w:val="both"/>
        <w:rPr>
          <w:rFonts w:ascii="tohoma" w:hAnsi="tohoma"/>
          <w:bCs/>
          <w:i/>
          <w:sz w:val="20"/>
          <w:szCs w:val="20"/>
          <w:lang w:val="vi-VN"/>
        </w:rPr>
      </w:pPr>
      <w:bookmarkStart w:id="2" w:name="_Toc511330841"/>
      <w:r w:rsidRPr="00D66299">
        <w:rPr>
          <w:rFonts w:ascii="tohoma" w:hAnsi="tohoma"/>
          <w:bCs/>
          <w:i/>
          <w:sz w:val="20"/>
          <w:szCs w:val="20"/>
          <w:lang w:val="vi-VN"/>
        </w:rPr>
        <w:t>Các hình thức vay nợ của chính phủ:</w:t>
      </w:r>
      <w:bookmarkEnd w:id="2"/>
    </w:p>
    <w:p w14:paraId="5978CC20"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Phát hành trái phiếu chính phủ để vay từ các tổ chức,cá nhân. Trái phiếu chính phủ được phát hành bằng nội tệ được coi là không có rủi ro tín dụng vì chính phủ có thể tăng thuế thậm chí in thêm tiền để thanh toán cả gốc lẫn lãi khi đáo hạn. Trái phiếu chính phủ phát hành bằng ngoại tệ có rủi ro tín dụng cao hơn so với khi phát hành bằng nội tệ vì chính phủ có thể không có đủ ngoại tệ để thanh toán và ngoài ra còn có rủi ro về tỷ giá hối đoái.</w:t>
      </w:r>
    </w:p>
    <w:p w14:paraId="0A3BD58C" w14:textId="77777777"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Vay trực tiếp: chính phủ có thể vay tiền trực tiếp từ các ngân hàng thương mại, có thể chế siêu quốc gia.... Hình thức này thường được chính phủ của các nước có độ tin cậy tín dụng thấp áp dụng vì khi đó khả năng vay nợ bằng hình thức phát hành trái phiếu chính phủ của họ không cao.</w:t>
      </w:r>
    </w:p>
    <w:p w14:paraId="347C213E" w14:textId="77777777" w:rsidR="00E63084" w:rsidRPr="00D66299" w:rsidRDefault="00E63084" w:rsidP="00D66299">
      <w:pPr>
        <w:jc w:val="both"/>
        <w:rPr>
          <w:rFonts w:ascii="tohoma" w:hAnsi="tohoma"/>
          <w:bCs/>
          <w:i/>
          <w:sz w:val="20"/>
          <w:szCs w:val="20"/>
          <w:lang w:val="vi-VN"/>
        </w:rPr>
      </w:pPr>
      <w:bookmarkStart w:id="3" w:name="_Toc511330842"/>
      <w:r w:rsidRPr="00D66299">
        <w:rPr>
          <w:rFonts w:ascii="tohoma" w:hAnsi="tohoma"/>
          <w:bCs/>
          <w:i/>
          <w:sz w:val="20"/>
          <w:szCs w:val="20"/>
          <w:lang w:val="vi-VN"/>
        </w:rPr>
        <w:t>Các vấn đề gặp phải khi thanh toán nợ chính phủ:</w:t>
      </w:r>
      <w:bookmarkEnd w:id="3"/>
    </w:p>
    <w:p w14:paraId="3575F144" w14:textId="237A6375"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Lạm phát</w:t>
      </w:r>
      <w:r w:rsidR="00D66299" w:rsidRPr="00D66299">
        <w:rPr>
          <w:rFonts w:ascii="tohoma" w:hAnsi="tohoma"/>
          <w:bCs/>
          <w:i/>
          <w:sz w:val="20"/>
          <w:szCs w:val="20"/>
          <w:lang w:val="vi-VN"/>
        </w:rPr>
        <w:t xml:space="preserve">. </w:t>
      </w:r>
      <w:r w:rsidRPr="00D66299">
        <w:rPr>
          <w:rFonts w:ascii="tohoma" w:hAnsi="tohoma"/>
          <w:bCs/>
          <w:i/>
          <w:sz w:val="20"/>
          <w:szCs w:val="20"/>
          <w:lang w:val="vi-VN"/>
        </w:rPr>
        <w:t>Lạm phát là thuật ngữ dùng để chỉ tình huống, trong đó mức giá chung của nền kinh tế tăng lên. Lạm phát ảnh hưởng rất lớn đến việc tính lãi vay do Chính phủ trả những khoản lãi vay theo lãi suất danh nghĩa. Theo phương trình Fisher, tỷ lệ lạm phát tăng 1% sẽ làm lãi suất danh nghĩa tăng 1%.</w:t>
      </w:r>
    </w:p>
    <w:p w14:paraId="39B17F19" w14:textId="2E6006DD" w:rsidR="00E63084" w:rsidRPr="00D66299" w:rsidRDefault="00E63084" w:rsidP="00D66299">
      <w:pPr>
        <w:jc w:val="both"/>
        <w:rPr>
          <w:rFonts w:ascii="tohoma" w:hAnsi="tohoma"/>
          <w:bCs/>
          <w:i/>
          <w:sz w:val="20"/>
          <w:szCs w:val="20"/>
          <w:lang w:val="vi-VN"/>
        </w:rPr>
      </w:pPr>
      <w:r w:rsidRPr="00D66299">
        <w:rPr>
          <w:rFonts w:ascii="tohoma" w:hAnsi="tohoma"/>
          <w:bCs/>
          <w:i/>
          <w:sz w:val="20"/>
          <w:szCs w:val="20"/>
          <w:lang w:val="vi-VN"/>
        </w:rPr>
        <w:t>Tài sản đầu tư</w:t>
      </w:r>
      <w:r w:rsidR="00D66299" w:rsidRPr="00D66299">
        <w:rPr>
          <w:rFonts w:ascii="tohoma" w:hAnsi="tohoma"/>
          <w:bCs/>
          <w:i/>
          <w:sz w:val="20"/>
          <w:szCs w:val="20"/>
          <w:lang w:val="vi-VN"/>
        </w:rPr>
        <w:t xml:space="preserve">. </w:t>
      </w:r>
      <w:r w:rsidRPr="00D66299">
        <w:rPr>
          <w:rFonts w:ascii="tohoma" w:hAnsi="tohoma"/>
          <w:bCs/>
          <w:i/>
          <w:sz w:val="20"/>
          <w:szCs w:val="20"/>
          <w:lang w:val="vi-VN"/>
        </w:rPr>
        <w:t>Các nhà kinh tế cho rằng nên trừ tổng tài sản của tài sản Chính phủ trong tính toán nợ công. Tuy nhiên, rất khó để xác định đâu là tài sản Chính phủ và giá trị của chúng là bao nhiêu.</w:t>
      </w:r>
    </w:p>
    <w:p w14:paraId="19FB5178" w14:textId="2333B545" w:rsidR="00D66299" w:rsidRDefault="00E63084" w:rsidP="00D66299">
      <w:pPr>
        <w:jc w:val="both"/>
        <w:rPr>
          <w:rFonts w:ascii="tohoma" w:hAnsi="tohoma"/>
          <w:bCs/>
          <w:i/>
          <w:sz w:val="20"/>
          <w:szCs w:val="20"/>
          <w:lang w:val="vi-VN"/>
        </w:rPr>
      </w:pPr>
      <w:r w:rsidRPr="00D66299">
        <w:rPr>
          <w:rFonts w:ascii="tohoma" w:hAnsi="tohoma"/>
          <w:bCs/>
          <w:i/>
          <w:sz w:val="20"/>
          <w:szCs w:val="20"/>
          <w:lang w:val="vi-VN"/>
        </w:rPr>
        <w:t>Các khoản nợ tiềm tàng</w:t>
      </w:r>
      <w:r w:rsidR="00D66299">
        <w:rPr>
          <w:rFonts w:ascii="tohoma" w:hAnsi="tohoma"/>
          <w:bCs/>
          <w:i/>
          <w:sz w:val="20"/>
          <w:szCs w:val="20"/>
          <w:lang w:val="vi-VN"/>
        </w:rPr>
        <w:t xml:space="preserve">. </w:t>
      </w:r>
      <w:bookmarkStart w:id="4" w:name="_GoBack"/>
      <w:bookmarkEnd w:id="4"/>
      <w:r w:rsidRPr="00D66299">
        <w:rPr>
          <w:rFonts w:ascii="tohoma" w:hAnsi="tohoma"/>
          <w:bCs/>
          <w:i/>
          <w:sz w:val="20"/>
          <w:szCs w:val="20"/>
          <w:lang w:val="vi-VN"/>
        </w:rPr>
        <w:t>Bao gồm các khoản chi phí trả trợ cấp cho hưu trí, bảo hiểm xã hội,... hay các khoản vay được Chính phủ đứng ra bảo lãnh nếu trong tương lai không có khả năng thanh toán. Những khoản chi này cũng cần được tính vào nợ công. Bởi lẽ suy cho cùng đó cũng là các khoản tiền mà Chính phủ phải chi ra.</w:t>
      </w:r>
    </w:p>
    <w:p w14:paraId="0DFB5E14" w14:textId="38A60539" w:rsidR="00D66299" w:rsidRPr="00D66299" w:rsidRDefault="00D66299" w:rsidP="00D66299">
      <w:pPr>
        <w:jc w:val="both"/>
        <w:rPr>
          <w:rFonts w:ascii="tohoma" w:hAnsi="tohoma"/>
          <w:b/>
          <w:bCs/>
          <w:i/>
          <w:sz w:val="20"/>
          <w:szCs w:val="20"/>
          <w:lang w:val="vi-VN"/>
        </w:rPr>
      </w:pPr>
      <w:r w:rsidRPr="00D66299">
        <w:rPr>
          <w:rFonts w:ascii="tohoma" w:hAnsi="tohoma"/>
          <w:b/>
          <w:bCs/>
          <w:i/>
          <w:sz w:val="20"/>
          <w:szCs w:val="20"/>
          <w:lang w:val="vi-VN"/>
        </w:rPr>
        <w:t xml:space="preserve">Tổng hợp các báo cáo nghiên cứu về </w:t>
      </w:r>
      <w:r w:rsidRPr="00D66299">
        <w:rPr>
          <w:rFonts w:ascii="tohoma" w:hAnsi="tohoma"/>
          <w:b/>
          <w:bCs/>
          <w:i/>
          <w:sz w:val="20"/>
          <w:szCs w:val="20"/>
          <w:lang w:val="vi-VN"/>
        </w:rPr>
        <w:t>nợ công</w:t>
      </w:r>
      <w:r>
        <w:rPr>
          <w:rFonts w:ascii="tohoma" w:hAnsi="tohoma"/>
          <w:b/>
          <w:bCs/>
          <w:i/>
          <w:sz w:val="20"/>
          <w:szCs w:val="20"/>
          <w:lang w:val="vi-VN"/>
        </w:rPr>
        <w:t xml:space="preserve"> Việt Nam 2017</w:t>
      </w:r>
    </w:p>
    <w:p w14:paraId="757B6A14" w14:textId="77777777" w:rsidR="00A673CA" w:rsidRPr="00A673CA" w:rsidRDefault="00A673CA" w:rsidP="00A673CA">
      <w:pPr>
        <w:jc w:val="both"/>
        <w:rPr>
          <w:rFonts w:ascii="tohoma" w:hAnsi="tohoma"/>
          <w:sz w:val="20"/>
          <w:szCs w:val="20"/>
        </w:rPr>
      </w:pPr>
      <w:r w:rsidRPr="00A673CA">
        <w:rPr>
          <w:rFonts w:ascii="tohoma" w:hAnsi="tohoma"/>
          <w:sz w:val="20"/>
          <w:szCs w:val="20"/>
        </w:rPr>
        <w:t xml:space="preserve">Sau hơn 30 năm mở cửa kinh tế, Việt Nam đã đạt được những thành tựu to lớn, có ý nghĩa lịch sử. Tiềm lực của đất nước đã lớn mạnh hơn nhiều, đời sống vật chất và tinh thần của người dân ngày càng được cải thiện, chính trị - xã </w:t>
      </w:r>
      <w:r w:rsidRPr="00A673CA">
        <w:rPr>
          <w:rFonts w:ascii="tohoma" w:hAnsi="tohoma"/>
          <w:sz w:val="20"/>
          <w:szCs w:val="20"/>
        </w:rPr>
        <w:lastRenderedPageBreak/>
        <w:t>hội ổn định. Trong năm 2017  quy mô nền kinh tế năm 2017 của Việt Nam là 5 triệu tỷ đồng, tương đương 223 tỷ USD. GDP bình quân đầu người của Việt Nam ước tính đạt 2.385 đô la, tăng 170 đô la so với năm 2016.</w:t>
      </w:r>
    </w:p>
    <w:p w14:paraId="1AA18332" w14:textId="77777777" w:rsidR="00A673CA" w:rsidRPr="00A673CA" w:rsidRDefault="00A673CA" w:rsidP="00A673CA">
      <w:pPr>
        <w:jc w:val="both"/>
        <w:rPr>
          <w:rFonts w:ascii="tohoma" w:hAnsi="tohoma"/>
          <w:sz w:val="20"/>
          <w:szCs w:val="20"/>
        </w:rPr>
      </w:pPr>
      <w:r w:rsidRPr="00A673CA">
        <w:rPr>
          <w:rFonts w:ascii="tohoma" w:hAnsi="tohoma"/>
          <w:sz w:val="20"/>
          <w:szCs w:val="20"/>
        </w:rPr>
        <w:t>Tuy nhiên, Việt Nam vẫn thuộc nhóm các nước đang phát triển, quy mô nền kinh tế của Việt Nam vẫn là nhỏ so với mặt bằng chung của thế giới; nền kinh tế phụ thuộc nhiều vào xuất khẩu sản phẩm nông nghiệp thô và công nghiệp nhẹ là chủ yếu. Do đó, hiện tại và trong tương lai gần, việc tăng vay nợ chính phủ nói riêng và nợ công nói chung là một nhu cầu tất yếu vì Việt Nam vẫn rất cần sự hỗ trợ về mặt tài chính từ các tổ chức đơn phương, đa phương trên thế giới để phát triển nền kinh tế hơn nữa.</w:t>
      </w:r>
    </w:p>
    <w:p w14:paraId="4132D2D5" w14:textId="77777777" w:rsidR="00A673CA" w:rsidRPr="00A673CA" w:rsidRDefault="00A673CA" w:rsidP="00A673CA">
      <w:pPr>
        <w:jc w:val="both"/>
        <w:rPr>
          <w:rFonts w:ascii="tohoma" w:hAnsi="tohoma"/>
          <w:sz w:val="20"/>
          <w:szCs w:val="20"/>
        </w:rPr>
      </w:pPr>
      <w:r w:rsidRPr="00A673CA">
        <w:rPr>
          <w:rFonts w:ascii="tohoma" w:hAnsi="tohoma"/>
          <w:sz w:val="20"/>
          <w:szCs w:val="20"/>
        </w:rPr>
        <w:t>- Về quy mô nợ công:</w:t>
      </w:r>
      <w:r>
        <w:rPr>
          <w:rFonts w:ascii="tohoma" w:hAnsi="tohoma"/>
          <w:sz w:val="20"/>
          <w:szCs w:val="20"/>
        </w:rPr>
        <w:t xml:space="preserve"> </w:t>
      </w:r>
      <w:r w:rsidRPr="00A673CA">
        <w:rPr>
          <w:rFonts w:ascii="tohoma" w:hAnsi="tohoma"/>
          <w:sz w:val="20"/>
          <w:szCs w:val="20"/>
        </w:rPr>
        <w:t>Theo các con số thông kê do Bộ Tài Chính của Việt Nam nêu ra, nợ công của Việt Nam năm 2016 chiếm 63.7% GDP. Năm 2017 nợ công năm 2017 là 62,6% GDP, theo dự kiến năm 2018 sẽ là 63,9% GDP</w:t>
      </w:r>
    </w:p>
    <w:tbl>
      <w:tblPr>
        <w:tblStyle w:val="TableGrid"/>
        <w:tblW w:w="0" w:type="auto"/>
        <w:tblInd w:w="1101" w:type="dxa"/>
        <w:tblLook w:val="04A0" w:firstRow="1" w:lastRow="0" w:firstColumn="1" w:lastColumn="0" w:noHBand="0" w:noVBand="1"/>
      </w:tblPr>
      <w:tblGrid>
        <w:gridCol w:w="2810"/>
        <w:gridCol w:w="1191"/>
        <w:gridCol w:w="1191"/>
        <w:gridCol w:w="2041"/>
      </w:tblGrid>
      <w:tr w:rsidR="0012339A" w:rsidRPr="00A673CA" w14:paraId="7E83BB9B" w14:textId="77777777" w:rsidTr="0012339A">
        <w:trPr>
          <w:trHeight w:val="241"/>
        </w:trPr>
        <w:tc>
          <w:tcPr>
            <w:tcW w:w="2810" w:type="dxa"/>
            <w:vAlign w:val="center"/>
          </w:tcPr>
          <w:p w14:paraId="55CEFBA9" w14:textId="77777777" w:rsidR="00A673CA" w:rsidRPr="00A673CA" w:rsidRDefault="00A673CA" w:rsidP="00A673CA">
            <w:pPr>
              <w:jc w:val="center"/>
              <w:rPr>
                <w:rFonts w:ascii="tohoma" w:hAnsi="tohoma" w:cs="Times New Roman"/>
                <w:sz w:val="20"/>
                <w:szCs w:val="20"/>
              </w:rPr>
            </w:pPr>
            <w:r w:rsidRPr="00A673CA">
              <w:rPr>
                <w:rFonts w:ascii="tohoma" w:hAnsi="tohoma" w:cs="Times New Roman"/>
                <w:sz w:val="20"/>
                <w:szCs w:val="20"/>
              </w:rPr>
              <w:t>Tiêu chí</w:t>
            </w:r>
          </w:p>
        </w:tc>
        <w:tc>
          <w:tcPr>
            <w:tcW w:w="1191" w:type="dxa"/>
            <w:vAlign w:val="center"/>
          </w:tcPr>
          <w:p w14:paraId="00996AC6" w14:textId="77777777" w:rsidR="00A673CA" w:rsidRPr="00A673CA" w:rsidRDefault="00A673CA" w:rsidP="00A673CA">
            <w:pPr>
              <w:jc w:val="center"/>
              <w:rPr>
                <w:rFonts w:ascii="tohoma" w:hAnsi="tohoma" w:cs="Times New Roman"/>
                <w:sz w:val="20"/>
                <w:szCs w:val="20"/>
              </w:rPr>
            </w:pPr>
            <w:r w:rsidRPr="00A673CA">
              <w:rPr>
                <w:rFonts w:ascii="tohoma" w:hAnsi="tohoma" w:cs="Times New Roman"/>
                <w:sz w:val="20"/>
                <w:szCs w:val="20"/>
              </w:rPr>
              <w:t>Năm 2016</w:t>
            </w:r>
          </w:p>
        </w:tc>
        <w:tc>
          <w:tcPr>
            <w:tcW w:w="1191" w:type="dxa"/>
            <w:vAlign w:val="center"/>
          </w:tcPr>
          <w:p w14:paraId="18A1E262" w14:textId="77777777" w:rsidR="00A673CA" w:rsidRPr="00A673CA" w:rsidRDefault="00A673CA" w:rsidP="00A673CA">
            <w:pPr>
              <w:jc w:val="center"/>
              <w:rPr>
                <w:rFonts w:ascii="tohoma" w:hAnsi="tohoma" w:cs="Times New Roman"/>
                <w:sz w:val="20"/>
                <w:szCs w:val="20"/>
              </w:rPr>
            </w:pPr>
            <w:r w:rsidRPr="00A673CA">
              <w:rPr>
                <w:rFonts w:ascii="tohoma" w:hAnsi="tohoma" w:cs="Times New Roman"/>
                <w:sz w:val="20"/>
                <w:szCs w:val="20"/>
              </w:rPr>
              <w:t>Năm 2017</w:t>
            </w:r>
          </w:p>
        </w:tc>
        <w:tc>
          <w:tcPr>
            <w:tcW w:w="2041" w:type="dxa"/>
            <w:vAlign w:val="center"/>
          </w:tcPr>
          <w:p w14:paraId="157682C7" w14:textId="77777777" w:rsidR="00A673CA" w:rsidRPr="00A673CA" w:rsidRDefault="0012339A" w:rsidP="00A673CA">
            <w:pPr>
              <w:jc w:val="center"/>
              <w:rPr>
                <w:rFonts w:ascii="tohoma" w:hAnsi="tohoma" w:cs="Times New Roman"/>
                <w:sz w:val="20"/>
                <w:szCs w:val="20"/>
              </w:rPr>
            </w:pPr>
            <w:r>
              <w:rPr>
                <w:rFonts w:ascii="tohoma" w:hAnsi="tohoma" w:cs="Times New Roman"/>
                <w:sz w:val="20"/>
                <w:szCs w:val="20"/>
              </w:rPr>
              <w:t xml:space="preserve">Năm 2018 </w:t>
            </w:r>
            <w:r w:rsidR="00A673CA">
              <w:rPr>
                <w:rFonts w:ascii="tohoma" w:hAnsi="tohoma" w:cs="Times New Roman"/>
                <w:sz w:val="20"/>
                <w:szCs w:val="20"/>
              </w:rPr>
              <w:t>(</w:t>
            </w:r>
            <w:r w:rsidR="00A673CA" w:rsidRPr="00A673CA">
              <w:rPr>
                <w:rFonts w:ascii="tohoma" w:hAnsi="tohoma" w:cs="Times New Roman"/>
                <w:sz w:val="20"/>
                <w:szCs w:val="20"/>
              </w:rPr>
              <w:t>Dự kiến)</w:t>
            </w:r>
          </w:p>
        </w:tc>
      </w:tr>
      <w:tr w:rsidR="00A673CA" w:rsidRPr="00A673CA" w14:paraId="2DDBE11F" w14:textId="77777777" w:rsidTr="0012339A">
        <w:trPr>
          <w:trHeight w:val="121"/>
        </w:trPr>
        <w:tc>
          <w:tcPr>
            <w:tcW w:w="2810" w:type="dxa"/>
            <w:vAlign w:val="center"/>
          </w:tcPr>
          <w:p w14:paraId="1EC1316B"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Nợ công so với GDP(%)</w:t>
            </w:r>
          </w:p>
        </w:tc>
        <w:tc>
          <w:tcPr>
            <w:tcW w:w="1191" w:type="dxa"/>
            <w:vAlign w:val="center"/>
          </w:tcPr>
          <w:p w14:paraId="74919ABA"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63,6</w:t>
            </w:r>
          </w:p>
        </w:tc>
        <w:tc>
          <w:tcPr>
            <w:tcW w:w="1191" w:type="dxa"/>
            <w:vAlign w:val="center"/>
          </w:tcPr>
          <w:p w14:paraId="10E9CF01"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62,6</w:t>
            </w:r>
          </w:p>
        </w:tc>
        <w:tc>
          <w:tcPr>
            <w:tcW w:w="2041" w:type="dxa"/>
            <w:vAlign w:val="center"/>
          </w:tcPr>
          <w:p w14:paraId="74B70F89"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63,9</w:t>
            </w:r>
          </w:p>
        </w:tc>
      </w:tr>
      <w:tr w:rsidR="00A673CA" w:rsidRPr="00A673CA" w14:paraId="2801AD8B" w14:textId="77777777" w:rsidTr="0012339A">
        <w:trPr>
          <w:trHeight w:val="241"/>
        </w:trPr>
        <w:tc>
          <w:tcPr>
            <w:tcW w:w="2810" w:type="dxa"/>
            <w:vAlign w:val="center"/>
          </w:tcPr>
          <w:p w14:paraId="675840E5"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Nợ chính phủ so với GDP(%)</w:t>
            </w:r>
          </w:p>
        </w:tc>
        <w:tc>
          <w:tcPr>
            <w:tcW w:w="1191" w:type="dxa"/>
            <w:vAlign w:val="center"/>
          </w:tcPr>
          <w:p w14:paraId="3FBE7AD7"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52,6</w:t>
            </w:r>
          </w:p>
        </w:tc>
        <w:tc>
          <w:tcPr>
            <w:tcW w:w="1191" w:type="dxa"/>
            <w:vAlign w:val="center"/>
          </w:tcPr>
          <w:p w14:paraId="097B684B"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51,8</w:t>
            </w:r>
          </w:p>
        </w:tc>
        <w:tc>
          <w:tcPr>
            <w:tcW w:w="2041" w:type="dxa"/>
            <w:vAlign w:val="center"/>
          </w:tcPr>
          <w:p w14:paraId="5E5CC515"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52,5</w:t>
            </w:r>
          </w:p>
        </w:tc>
      </w:tr>
      <w:tr w:rsidR="00A673CA" w:rsidRPr="00A673CA" w14:paraId="71743BCB" w14:textId="77777777" w:rsidTr="0012339A">
        <w:trPr>
          <w:trHeight w:val="241"/>
        </w:trPr>
        <w:tc>
          <w:tcPr>
            <w:tcW w:w="2810" w:type="dxa"/>
            <w:vAlign w:val="center"/>
          </w:tcPr>
          <w:p w14:paraId="636B6B16"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Nợ nước ngoài so với GDP(%)</w:t>
            </w:r>
          </w:p>
        </w:tc>
        <w:tc>
          <w:tcPr>
            <w:tcW w:w="1191" w:type="dxa"/>
            <w:vAlign w:val="center"/>
          </w:tcPr>
          <w:p w14:paraId="2AF810AC"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44,3</w:t>
            </w:r>
          </w:p>
        </w:tc>
        <w:tc>
          <w:tcPr>
            <w:tcW w:w="1191" w:type="dxa"/>
            <w:vAlign w:val="center"/>
          </w:tcPr>
          <w:p w14:paraId="09A45C9F"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45,2</w:t>
            </w:r>
          </w:p>
        </w:tc>
        <w:tc>
          <w:tcPr>
            <w:tcW w:w="2041" w:type="dxa"/>
            <w:vAlign w:val="center"/>
          </w:tcPr>
          <w:p w14:paraId="0181F3D7"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47,6</w:t>
            </w:r>
          </w:p>
        </w:tc>
      </w:tr>
      <w:tr w:rsidR="00A673CA" w:rsidRPr="00A673CA" w14:paraId="39B0E9DE" w14:textId="77777777" w:rsidTr="0012339A">
        <w:trPr>
          <w:trHeight w:val="262"/>
        </w:trPr>
        <w:tc>
          <w:tcPr>
            <w:tcW w:w="2810" w:type="dxa"/>
            <w:vAlign w:val="center"/>
          </w:tcPr>
          <w:p w14:paraId="1326DFE6"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Vay nợ( tỷ đồng)</w:t>
            </w:r>
          </w:p>
        </w:tc>
        <w:tc>
          <w:tcPr>
            <w:tcW w:w="1191" w:type="dxa"/>
            <w:vAlign w:val="center"/>
          </w:tcPr>
          <w:p w14:paraId="55683107"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452.000</w:t>
            </w:r>
          </w:p>
        </w:tc>
        <w:tc>
          <w:tcPr>
            <w:tcW w:w="1191" w:type="dxa"/>
            <w:vAlign w:val="center"/>
          </w:tcPr>
          <w:p w14:paraId="192DB568"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342.060</w:t>
            </w:r>
          </w:p>
        </w:tc>
        <w:tc>
          <w:tcPr>
            <w:tcW w:w="2041" w:type="dxa"/>
            <w:vAlign w:val="center"/>
          </w:tcPr>
          <w:p w14:paraId="099524C9" w14:textId="77777777" w:rsidR="00A673CA" w:rsidRPr="00A673CA" w:rsidRDefault="00A673CA" w:rsidP="00A673CA">
            <w:pPr>
              <w:jc w:val="both"/>
              <w:rPr>
                <w:rFonts w:ascii="tohoma" w:hAnsi="tohoma" w:cs="Times New Roman"/>
                <w:sz w:val="20"/>
                <w:szCs w:val="20"/>
              </w:rPr>
            </w:pPr>
            <w:r w:rsidRPr="00A673CA">
              <w:rPr>
                <w:rFonts w:ascii="tohoma" w:hAnsi="tohoma" w:cs="Times New Roman"/>
                <w:sz w:val="20"/>
                <w:szCs w:val="20"/>
              </w:rPr>
              <w:t>363.300</w:t>
            </w:r>
          </w:p>
        </w:tc>
      </w:tr>
    </w:tbl>
    <w:p w14:paraId="5308C1FD" w14:textId="77777777" w:rsidR="00A673CA" w:rsidRPr="00A673CA" w:rsidRDefault="00A673CA" w:rsidP="00A673CA">
      <w:pPr>
        <w:jc w:val="both"/>
        <w:rPr>
          <w:rFonts w:ascii="tohoma" w:hAnsi="tohoma"/>
          <w:sz w:val="20"/>
          <w:szCs w:val="20"/>
        </w:rPr>
      </w:pPr>
      <w:r w:rsidRPr="00A673CA">
        <w:rPr>
          <w:rFonts w:ascii="tohoma" w:hAnsi="tohoma"/>
          <w:sz w:val="20"/>
          <w:szCs w:val="20"/>
        </w:rPr>
        <w:t>Theo báo cáo của Chính phủ trước Quốc hội, nợ công đến cuối năm 2017 có thể vào khoảng 3.130 nghìn tỉ đồng, tương đương 62,6% GDP, thấp hơn năm 2016 và dự báo trước đây. Trong 3 triệu tỉ đồng nợ công, nợ chính phủ chiếm 82.7%, nợ do chính phủ bảo lãnh chiếm 16% và nợ địa phương chiếm 1.3%. Giai đoạn 2013-2016, nợ chính phủ tăng nhiều nhất, với tỉ lệ tăng bình quân 16,7%/năm, kế đến là nợ địa phương tăng 9,3%/năm, trong khi nợ do chính phủ bảo lãnh tăng khiêm tốn hơn ở mức 7,8%/năm. Mặc dù nợ công và nợ chính phủ tăng nhưng tỉ lệ nợ trên GDP dự kiến lại giảm nhẹ, tương ứng 62,6% và 51,8%, so với mức 63,6% và 52,6% năm 2016.</w:t>
      </w:r>
    </w:p>
    <w:p w14:paraId="1206E6AC" w14:textId="77777777" w:rsidR="00A673CA" w:rsidRPr="00A673CA" w:rsidRDefault="00A673CA" w:rsidP="00A673CA">
      <w:pPr>
        <w:jc w:val="both"/>
        <w:rPr>
          <w:rFonts w:ascii="tohoma" w:hAnsi="tohoma"/>
          <w:sz w:val="20"/>
          <w:szCs w:val="20"/>
        </w:rPr>
      </w:pPr>
      <w:r w:rsidRPr="00A673CA">
        <w:rPr>
          <w:rFonts w:ascii="tohoma" w:hAnsi="tohoma"/>
          <w:sz w:val="20"/>
          <w:szCs w:val="20"/>
        </w:rPr>
        <w:t>- Về tình hình trả nợ công:</w:t>
      </w:r>
      <w:r>
        <w:rPr>
          <w:rFonts w:ascii="tohoma" w:hAnsi="tohoma"/>
          <w:sz w:val="20"/>
          <w:szCs w:val="20"/>
        </w:rPr>
        <w:t xml:space="preserve"> </w:t>
      </w:r>
      <w:r w:rsidRPr="00A673CA">
        <w:rPr>
          <w:rFonts w:ascii="tohoma" w:hAnsi="tohoma"/>
          <w:sz w:val="20"/>
          <w:szCs w:val="20"/>
        </w:rPr>
        <w:t>Cụ thể hơn về kế hoạch vay trả nợ của Chính phủ, báo cáo nêu nhiệm vụ huy động vốn vay của Chính phủ cho cân đối ngân sách trung ương năm 2017 là 316.300 tỷ đồng.</w:t>
      </w:r>
    </w:p>
    <w:p w14:paraId="2DCC0D35" w14:textId="77777777" w:rsidR="00A673CA" w:rsidRPr="00A673CA" w:rsidRDefault="00A673CA" w:rsidP="00A673CA">
      <w:pPr>
        <w:jc w:val="both"/>
        <w:rPr>
          <w:rFonts w:ascii="tohoma" w:hAnsi="tohoma"/>
          <w:sz w:val="20"/>
          <w:szCs w:val="20"/>
        </w:rPr>
      </w:pPr>
      <w:r w:rsidRPr="00A673CA">
        <w:rPr>
          <w:rFonts w:ascii="tohoma" w:hAnsi="tohoma"/>
          <w:sz w:val="20"/>
          <w:szCs w:val="20"/>
        </w:rPr>
        <w:t>Chính phủ dự kiến vay nước ngoài về cho vay lại các dự án/chương trình, chính quyền địa phương, trong năm 2017 khoảng 1.120 triệu USD (tương đương khoảng 25.760 tỷ đồng).</w:t>
      </w:r>
    </w:p>
    <w:p w14:paraId="082370FD" w14:textId="77777777" w:rsidR="00A673CA" w:rsidRPr="00A673CA" w:rsidRDefault="00A673CA" w:rsidP="00A673CA">
      <w:pPr>
        <w:jc w:val="both"/>
        <w:rPr>
          <w:rFonts w:ascii="tohoma" w:hAnsi="tohoma"/>
          <w:sz w:val="20"/>
          <w:szCs w:val="20"/>
        </w:rPr>
      </w:pPr>
      <w:r w:rsidRPr="00A673CA">
        <w:rPr>
          <w:rFonts w:ascii="tohoma" w:hAnsi="tohoma"/>
          <w:sz w:val="20"/>
          <w:szCs w:val="20"/>
        </w:rPr>
        <w:t>Kết quả thực hiện, tổng mức vay của Chính phủ 9 tháng đầu năm đạt 254.831 tỷ đồng (bằng 75% kế hoạch, bao gồm vay để bù đắp bội chi ngân sách nhà nước là 119.000 tỷ đồng (bằng 69% kế hoạch), vay để trả nợ gốc là 125.065 tỷ đồng (bằng 86,9% kế hoạch) và vay về cho vay lại là 10.766 tỷ đồng (bằng 42% kế hoạch). Dự kiến cuối năm 2017 sẽ hoàn thành kế hoạch huy động vốn đã được phê duyệt</w:t>
      </w:r>
      <w:r w:rsidR="0012339A">
        <w:rPr>
          <w:rFonts w:ascii="tohoma" w:hAnsi="tohoma"/>
          <w:sz w:val="20"/>
          <w:szCs w:val="20"/>
        </w:rPr>
        <w:t>.</w:t>
      </w:r>
    </w:p>
    <w:p w14:paraId="52B25F5E" w14:textId="77777777" w:rsidR="00A673CA" w:rsidRPr="00A673CA" w:rsidRDefault="00A673CA" w:rsidP="00A673CA">
      <w:pPr>
        <w:jc w:val="both"/>
        <w:rPr>
          <w:rFonts w:ascii="tohoma" w:hAnsi="tohoma"/>
          <w:sz w:val="20"/>
          <w:szCs w:val="20"/>
        </w:rPr>
      </w:pPr>
      <w:r w:rsidRPr="00A673CA">
        <w:rPr>
          <w:rFonts w:ascii="tohoma" w:hAnsi="tohoma"/>
          <w:sz w:val="20"/>
          <w:szCs w:val="20"/>
        </w:rPr>
        <w:t>Nghĩa vụ nợ của Chính phủ trong năm 2017 khoảng 260.150 tỷ đồng, gồm trả nợ trong nước là 214.878 tỷ đồng, trả nợ nước ngoài trực tiếp là 28.022 tỷ đồng, trả nợ của các dự án vay lại nguồn vốn vay nước ngoài của Chính phủ trong năm 2017 ở mức khoảng 17.250 tỷ đồng.</w:t>
      </w:r>
    </w:p>
    <w:p w14:paraId="2001819A" w14:textId="77777777" w:rsidR="00A673CA" w:rsidRPr="00A673CA" w:rsidRDefault="00A673CA" w:rsidP="00A673CA">
      <w:pPr>
        <w:jc w:val="both"/>
        <w:rPr>
          <w:rFonts w:ascii="tohoma" w:hAnsi="tohoma"/>
          <w:sz w:val="20"/>
          <w:szCs w:val="20"/>
        </w:rPr>
      </w:pPr>
      <w:r w:rsidRPr="00A673CA">
        <w:rPr>
          <w:rFonts w:ascii="tohoma" w:hAnsi="tohoma"/>
          <w:sz w:val="20"/>
          <w:szCs w:val="20"/>
        </w:rPr>
        <w:t>Tổng mức trả nợ 9 tháng đầu năm là 213.316 tỷ đồng (bằng 82% kế hoạch), trong đó trả nợ được bố trí trong dự toán chi ngân sách trung ương là 200.417 tỷ đồng (gốc là 125.065 tỷ đồng, lãi là 75.352 tỷ đồng), trả nợ vay về cho vay lại là 12.899 tỷ đồng.</w:t>
      </w:r>
    </w:p>
    <w:p w14:paraId="74D5AC5C" w14:textId="77777777" w:rsidR="00A673CA" w:rsidRPr="00A673CA" w:rsidRDefault="00A673CA" w:rsidP="00A673CA">
      <w:pPr>
        <w:jc w:val="both"/>
        <w:rPr>
          <w:rFonts w:ascii="tohoma" w:hAnsi="tohoma"/>
          <w:sz w:val="20"/>
          <w:szCs w:val="20"/>
        </w:rPr>
      </w:pPr>
      <w:r w:rsidRPr="00A673CA">
        <w:rPr>
          <w:rFonts w:ascii="tohoma" w:hAnsi="tohoma"/>
          <w:sz w:val="20"/>
          <w:szCs w:val="20"/>
        </w:rPr>
        <w:t>Nhìn chung, công tác trả nợ của Chính phủ năm 2017 được thực hiện chặt chẽ, trả nợ đúng hạn đầy đủ theo đúng các cam kết của Chính phủ với nhà tài trợ - báo cáo nêu rõ.</w:t>
      </w:r>
    </w:p>
    <w:p w14:paraId="44424733" w14:textId="77777777" w:rsidR="00A673CA" w:rsidRPr="00A673CA" w:rsidRDefault="0012339A" w:rsidP="00A673CA">
      <w:pPr>
        <w:jc w:val="both"/>
        <w:rPr>
          <w:rFonts w:ascii="tohoma" w:hAnsi="tohoma"/>
          <w:sz w:val="20"/>
          <w:szCs w:val="20"/>
        </w:rPr>
      </w:pPr>
      <w:r>
        <w:rPr>
          <w:rFonts w:ascii="tohoma" w:hAnsi="tohoma"/>
          <w:noProof/>
          <w:sz w:val="20"/>
          <w:szCs w:val="20"/>
        </w:rPr>
        <mc:AlternateContent>
          <mc:Choice Requires="wps">
            <w:drawing>
              <wp:anchor distT="0" distB="0" distL="114300" distR="114300" simplePos="0" relativeHeight="251659264" behindDoc="0" locked="0" layoutInCell="1" allowOverlap="1" wp14:anchorId="06D005D1" wp14:editId="757BD486">
                <wp:simplePos x="0" y="0"/>
                <wp:positionH relativeFrom="column">
                  <wp:posOffset>800100</wp:posOffset>
                </wp:positionH>
                <wp:positionV relativeFrom="paragraph">
                  <wp:posOffset>67945</wp:posOffset>
                </wp:positionV>
                <wp:extent cx="3886200" cy="2171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38862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247E73" w14:textId="77777777" w:rsidR="0012339A" w:rsidRDefault="0012339A">
                            <w:r w:rsidRPr="00A673CA">
                              <w:rPr>
                                <w:rFonts w:ascii="tohoma" w:hAnsi="tohoma"/>
                                <w:noProof/>
                                <w:sz w:val="20"/>
                                <w:szCs w:val="20"/>
                              </w:rPr>
                              <w:drawing>
                                <wp:inline distT="0" distB="0" distL="0" distR="0" wp14:anchorId="219AA733" wp14:editId="450D0B6F">
                                  <wp:extent cx="3701415" cy="1894840"/>
                                  <wp:effectExtent l="0" t="0" r="698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3320" cy="1895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63pt;margin-top:5.35pt;width:306pt;height: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IyX84CAAAP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" filled="f" stroked="f">
                <v:textbox>
                  <w:txbxContent>
                    <w:p w14:paraId="49247E73" w14:textId="77777777" w:rsidR="0012339A" w:rsidRDefault="0012339A">
                      <w:r w:rsidRPr="00A673CA">
                        <w:rPr>
                          <w:rFonts w:ascii="tohoma" w:hAnsi="tohoma"/>
                          <w:noProof/>
                          <w:sz w:val="20"/>
                          <w:szCs w:val="20"/>
                        </w:rPr>
                        <w:drawing>
                          <wp:inline distT="0" distB="0" distL="0" distR="0" wp14:anchorId="219AA733" wp14:editId="450D0B6F">
                            <wp:extent cx="3701415" cy="1894840"/>
                            <wp:effectExtent l="0" t="0" r="698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3320" cy="1895815"/>
                                    </a:xfrm>
                                    <a:prstGeom prst="rect">
                                      <a:avLst/>
                                    </a:prstGeom>
                                    <a:noFill/>
                                    <a:ln>
                                      <a:noFill/>
                                    </a:ln>
                                  </pic:spPr>
                                </pic:pic>
                              </a:graphicData>
                            </a:graphic>
                          </wp:inline>
                        </w:drawing>
                      </w:r>
                    </w:p>
                  </w:txbxContent>
                </v:textbox>
                <w10:wrap type="square"/>
              </v:shape>
            </w:pict>
          </mc:Fallback>
        </mc:AlternateContent>
      </w:r>
    </w:p>
    <w:p w14:paraId="3DB23A15" w14:textId="77777777" w:rsidR="00A673CA" w:rsidRDefault="00A673CA" w:rsidP="00A673CA">
      <w:pPr>
        <w:jc w:val="both"/>
        <w:rPr>
          <w:rFonts w:ascii="tohoma" w:hAnsi="tohoma"/>
          <w:sz w:val="20"/>
          <w:szCs w:val="20"/>
        </w:rPr>
      </w:pPr>
    </w:p>
    <w:p w14:paraId="796B0733" w14:textId="77777777" w:rsidR="0012339A" w:rsidRDefault="0012339A" w:rsidP="00A673CA">
      <w:pPr>
        <w:jc w:val="both"/>
        <w:rPr>
          <w:rFonts w:ascii="tohoma" w:hAnsi="tohoma"/>
          <w:sz w:val="20"/>
          <w:szCs w:val="20"/>
        </w:rPr>
      </w:pPr>
    </w:p>
    <w:p w14:paraId="1A002BFC" w14:textId="77777777" w:rsidR="0012339A" w:rsidRDefault="0012339A" w:rsidP="00A673CA">
      <w:pPr>
        <w:jc w:val="both"/>
        <w:rPr>
          <w:rFonts w:ascii="tohoma" w:hAnsi="tohoma"/>
          <w:sz w:val="20"/>
          <w:szCs w:val="20"/>
        </w:rPr>
      </w:pPr>
    </w:p>
    <w:p w14:paraId="13A43126" w14:textId="77777777" w:rsidR="0012339A" w:rsidRDefault="0012339A" w:rsidP="00A673CA">
      <w:pPr>
        <w:jc w:val="both"/>
        <w:rPr>
          <w:rFonts w:ascii="tohoma" w:hAnsi="tohoma"/>
          <w:sz w:val="20"/>
          <w:szCs w:val="20"/>
        </w:rPr>
      </w:pPr>
    </w:p>
    <w:p w14:paraId="1CFE470A" w14:textId="77777777" w:rsidR="0012339A" w:rsidRDefault="0012339A" w:rsidP="00A673CA">
      <w:pPr>
        <w:jc w:val="both"/>
        <w:rPr>
          <w:rFonts w:ascii="tohoma" w:hAnsi="tohoma"/>
          <w:sz w:val="20"/>
          <w:szCs w:val="20"/>
        </w:rPr>
      </w:pPr>
    </w:p>
    <w:p w14:paraId="61F80201" w14:textId="77777777" w:rsidR="0012339A" w:rsidRDefault="0012339A" w:rsidP="00A673CA">
      <w:pPr>
        <w:jc w:val="both"/>
        <w:rPr>
          <w:rFonts w:ascii="tohoma" w:hAnsi="tohoma"/>
          <w:sz w:val="20"/>
          <w:szCs w:val="20"/>
        </w:rPr>
      </w:pPr>
    </w:p>
    <w:p w14:paraId="0271C31F" w14:textId="77777777" w:rsidR="0012339A" w:rsidRDefault="0012339A" w:rsidP="00A673CA">
      <w:pPr>
        <w:jc w:val="both"/>
        <w:rPr>
          <w:rFonts w:ascii="tohoma" w:hAnsi="tohoma"/>
          <w:sz w:val="20"/>
          <w:szCs w:val="20"/>
        </w:rPr>
      </w:pPr>
    </w:p>
    <w:p w14:paraId="61573F2C" w14:textId="77777777" w:rsidR="0012339A" w:rsidRDefault="0012339A" w:rsidP="00A673CA">
      <w:pPr>
        <w:jc w:val="both"/>
        <w:rPr>
          <w:rFonts w:ascii="tohoma" w:hAnsi="tohoma"/>
          <w:sz w:val="20"/>
          <w:szCs w:val="20"/>
        </w:rPr>
      </w:pPr>
    </w:p>
    <w:p w14:paraId="6B1F5CB1" w14:textId="77777777" w:rsidR="0012339A" w:rsidRDefault="0012339A" w:rsidP="00A673CA">
      <w:pPr>
        <w:jc w:val="both"/>
        <w:rPr>
          <w:rFonts w:ascii="tohoma" w:hAnsi="tohoma"/>
          <w:sz w:val="20"/>
          <w:szCs w:val="20"/>
        </w:rPr>
      </w:pPr>
    </w:p>
    <w:p w14:paraId="2D33DDC0" w14:textId="77777777" w:rsidR="0012339A" w:rsidRDefault="0012339A" w:rsidP="00A673CA">
      <w:pPr>
        <w:jc w:val="both"/>
        <w:rPr>
          <w:rFonts w:ascii="tohoma" w:hAnsi="tohoma"/>
          <w:sz w:val="20"/>
          <w:szCs w:val="20"/>
        </w:rPr>
      </w:pPr>
    </w:p>
    <w:p w14:paraId="39CED482" w14:textId="77777777" w:rsidR="0012339A" w:rsidRDefault="0012339A" w:rsidP="00A673CA">
      <w:pPr>
        <w:jc w:val="both"/>
        <w:rPr>
          <w:rFonts w:ascii="tohoma" w:hAnsi="tohoma"/>
          <w:sz w:val="20"/>
          <w:szCs w:val="20"/>
        </w:rPr>
      </w:pPr>
    </w:p>
    <w:p w14:paraId="4EBB5D30" w14:textId="77777777" w:rsidR="0012339A" w:rsidRDefault="0012339A" w:rsidP="00A673CA">
      <w:pPr>
        <w:jc w:val="both"/>
        <w:rPr>
          <w:rFonts w:ascii="tohoma" w:hAnsi="tohoma"/>
          <w:sz w:val="20"/>
          <w:szCs w:val="20"/>
        </w:rPr>
      </w:pPr>
    </w:p>
    <w:p w14:paraId="04F2CBBD" w14:textId="77777777" w:rsidR="0012339A" w:rsidRDefault="0012339A" w:rsidP="00A673CA">
      <w:pPr>
        <w:jc w:val="both"/>
        <w:rPr>
          <w:rFonts w:ascii="tohoma" w:hAnsi="tohoma"/>
          <w:sz w:val="20"/>
          <w:szCs w:val="20"/>
        </w:rPr>
      </w:pPr>
    </w:p>
    <w:p w14:paraId="717EC835" w14:textId="77777777" w:rsidR="0012339A" w:rsidRDefault="0012339A" w:rsidP="00A673CA">
      <w:pPr>
        <w:jc w:val="both"/>
        <w:rPr>
          <w:rFonts w:ascii="tohoma" w:hAnsi="tohoma"/>
          <w:sz w:val="20"/>
          <w:szCs w:val="20"/>
        </w:rPr>
      </w:pPr>
    </w:p>
    <w:p w14:paraId="27D37C16" w14:textId="77777777" w:rsidR="0012339A" w:rsidRDefault="0012339A" w:rsidP="00A673CA">
      <w:pPr>
        <w:jc w:val="both"/>
        <w:rPr>
          <w:rFonts w:ascii="tohoma" w:hAnsi="tohoma"/>
          <w:sz w:val="20"/>
          <w:szCs w:val="20"/>
        </w:rPr>
      </w:pPr>
    </w:p>
    <w:p w14:paraId="460D3D71" w14:textId="566A02A6" w:rsidR="00A673CA" w:rsidRPr="0012339A" w:rsidRDefault="00A673CA" w:rsidP="0012339A">
      <w:pPr>
        <w:jc w:val="center"/>
        <w:rPr>
          <w:rFonts w:ascii="tohoma" w:hAnsi="tohoma"/>
          <w:b/>
          <w:sz w:val="20"/>
          <w:szCs w:val="20"/>
        </w:rPr>
      </w:pPr>
      <w:r w:rsidRPr="0012339A">
        <w:rPr>
          <w:rFonts w:ascii="tohoma" w:hAnsi="tohoma"/>
          <w:b/>
          <w:sz w:val="20"/>
          <w:szCs w:val="20"/>
        </w:rPr>
        <w:t xml:space="preserve">Tỷ lệ nợ công so với GDP giai đoạn 2013 </w:t>
      </w:r>
      <w:r w:rsidR="0012339A" w:rsidRPr="0012339A">
        <w:rPr>
          <w:rFonts w:ascii="tohoma" w:hAnsi="tohoma"/>
          <w:b/>
          <w:sz w:val="20"/>
          <w:szCs w:val="20"/>
        </w:rPr>
        <w:t>–</w:t>
      </w:r>
      <w:r w:rsidRPr="0012339A">
        <w:rPr>
          <w:rFonts w:ascii="tohoma" w:hAnsi="tohoma"/>
          <w:b/>
          <w:sz w:val="20"/>
          <w:szCs w:val="20"/>
        </w:rPr>
        <w:t xml:space="preserve"> 2018</w:t>
      </w:r>
    </w:p>
    <w:p w14:paraId="04FAF185" w14:textId="77777777" w:rsidR="0012339A" w:rsidRDefault="0012339A" w:rsidP="00A673CA">
      <w:pPr>
        <w:jc w:val="both"/>
        <w:rPr>
          <w:rFonts w:ascii="tohoma" w:hAnsi="tohoma"/>
          <w:sz w:val="20"/>
          <w:szCs w:val="20"/>
        </w:rPr>
      </w:pPr>
      <w:r>
        <w:rPr>
          <w:rFonts w:ascii="tohoma" w:hAnsi="tohoma"/>
          <w:noProof/>
          <w:sz w:val="20"/>
          <w:szCs w:val="20"/>
        </w:rPr>
        <mc:AlternateContent>
          <mc:Choice Requires="wps">
            <w:drawing>
              <wp:anchor distT="0" distB="0" distL="114300" distR="114300" simplePos="0" relativeHeight="251660288" behindDoc="0" locked="0" layoutInCell="1" allowOverlap="1" wp14:anchorId="2A952253" wp14:editId="3652978E">
                <wp:simplePos x="0" y="0"/>
                <wp:positionH relativeFrom="column">
                  <wp:posOffset>1257300</wp:posOffset>
                </wp:positionH>
                <wp:positionV relativeFrom="paragraph">
                  <wp:posOffset>19050</wp:posOffset>
                </wp:positionV>
                <wp:extent cx="35433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0DC05C" w14:textId="77777777" w:rsidR="0012339A" w:rsidRDefault="0012339A">
                            <w:r w:rsidRPr="00A673CA">
                              <w:rPr>
                                <w:rFonts w:ascii="tohoma" w:hAnsi="tohoma"/>
                                <w:noProof/>
                                <w:sz w:val="20"/>
                                <w:szCs w:val="20"/>
                              </w:rPr>
                              <w:drawing>
                                <wp:inline distT="0" distB="0" distL="0" distR="0" wp14:anchorId="207C707D" wp14:editId="60F42E65">
                                  <wp:extent cx="3335020" cy="1666240"/>
                                  <wp:effectExtent l="0" t="0" r="0" b="1016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336566" cy="16670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9pt;margin-top:1.5pt;width:27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" filled="f" stroked="f">
                <v:textbox>
                  <w:txbxContent>
                    <w:p w14:paraId="4E0DC05C" w14:textId="77777777" w:rsidR="0012339A" w:rsidRDefault="0012339A">
                      <w:r w:rsidRPr="00A673CA">
                        <w:rPr>
                          <w:rFonts w:ascii="tohoma" w:hAnsi="tohoma"/>
                          <w:noProof/>
                          <w:sz w:val="20"/>
                          <w:szCs w:val="20"/>
                        </w:rPr>
                        <w:drawing>
                          <wp:inline distT="0" distB="0" distL="0" distR="0" wp14:anchorId="207C707D" wp14:editId="60F42E65">
                            <wp:extent cx="3335020" cy="1666240"/>
                            <wp:effectExtent l="0" t="0" r="0" b="1016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336566" cy="1667012"/>
                                    </a:xfrm>
                                    <a:prstGeom prst="rect">
                                      <a:avLst/>
                                    </a:prstGeom>
                                  </pic:spPr>
                                </pic:pic>
                              </a:graphicData>
                            </a:graphic>
                          </wp:inline>
                        </w:drawing>
                      </w:r>
                    </w:p>
                  </w:txbxContent>
                </v:textbox>
                <w10:wrap type="square"/>
              </v:shape>
            </w:pict>
          </mc:Fallback>
        </mc:AlternateContent>
      </w:r>
    </w:p>
    <w:p w14:paraId="2A102A26" w14:textId="77777777" w:rsidR="0012339A" w:rsidRDefault="0012339A" w:rsidP="00A673CA">
      <w:pPr>
        <w:jc w:val="both"/>
        <w:rPr>
          <w:rFonts w:ascii="tohoma" w:hAnsi="tohoma"/>
          <w:sz w:val="20"/>
          <w:szCs w:val="20"/>
        </w:rPr>
      </w:pPr>
    </w:p>
    <w:p w14:paraId="492DBB70" w14:textId="77777777" w:rsidR="0012339A" w:rsidRDefault="0012339A" w:rsidP="00A673CA">
      <w:pPr>
        <w:jc w:val="both"/>
        <w:rPr>
          <w:rFonts w:ascii="tohoma" w:hAnsi="tohoma"/>
          <w:sz w:val="20"/>
          <w:szCs w:val="20"/>
        </w:rPr>
      </w:pPr>
    </w:p>
    <w:p w14:paraId="7A7C8409" w14:textId="77777777" w:rsidR="0012339A" w:rsidRDefault="0012339A" w:rsidP="00A673CA">
      <w:pPr>
        <w:jc w:val="both"/>
        <w:rPr>
          <w:rFonts w:ascii="tohoma" w:hAnsi="tohoma"/>
          <w:sz w:val="20"/>
          <w:szCs w:val="20"/>
        </w:rPr>
      </w:pPr>
    </w:p>
    <w:p w14:paraId="15E250FF" w14:textId="77777777" w:rsidR="0012339A" w:rsidRDefault="0012339A" w:rsidP="00A673CA">
      <w:pPr>
        <w:jc w:val="both"/>
        <w:rPr>
          <w:rFonts w:ascii="tohoma" w:hAnsi="tohoma"/>
          <w:sz w:val="20"/>
          <w:szCs w:val="20"/>
        </w:rPr>
      </w:pPr>
    </w:p>
    <w:p w14:paraId="264A06B4" w14:textId="77777777" w:rsidR="0012339A" w:rsidRDefault="0012339A" w:rsidP="00A673CA">
      <w:pPr>
        <w:jc w:val="both"/>
        <w:rPr>
          <w:rFonts w:ascii="tohoma" w:hAnsi="tohoma"/>
          <w:sz w:val="20"/>
          <w:szCs w:val="20"/>
        </w:rPr>
      </w:pPr>
    </w:p>
    <w:p w14:paraId="00EFE67C" w14:textId="77777777" w:rsidR="0012339A" w:rsidRDefault="0012339A" w:rsidP="00A673CA">
      <w:pPr>
        <w:jc w:val="both"/>
        <w:rPr>
          <w:rFonts w:ascii="tohoma" w:hAnsi="tohoma"/>
          <w:sz w:val="20"/>
          <w:szCs w:val="20"/>
        </w:rPr>
      </w:pPr>
    </w:p>
    <w:p w14:paraId="0E69D447" w14:textId="77777777" w:rsidR="0012339A" w:rsidRDefault="0012339A" w:rsidP="00A673CA">
      <w:pPr>
        <w:jc w:val="both"/>
        <w:rPr>
          <w:rFonts w:ascii="tohoma" w:hAnsi="tohoma"/>
          <w:sz w:val="20"/>
          <w:szCs w:val="20"/>
        </w:rPr>
      </w:pPr>
    </w:p>
    <w:p w14:paraId="0D01683C" w14:textId="77777777" w:rsidR="0012339A" w:rsidRDefault="0012339A" w:rsidP="00A673CA">
      <w:pPr>
        <w:jc w:val="both"/>
        <w:rPr>
          <w:rFonts w:ascii="tohoma" w:hAnsi="tohoma"/>
          <w:sz w:val="20"/>
          <w:szCs w:val="20"/>
        </w:rPr>
      </w:pPr>
    </w:p>
    <w:p w14:paraId="5B1679E0" w14:textId="77777777" w:rsidR="0012339A" w:rsidRPr="0012339A" w:rsidRDefault="0012339A" w:rsidP="0012339A">
      <w:pPr>
        <w:jc w:val="center"/>
        <w:rPr>
          <w:rFonts w:ascii="tohoma" w:hAnsi="tohoma"/>
          <w:b/>
          <w:sz w:val="20"/>
          <w:szCs w:val="20"/>
        </w:rPr>
      </w:pPr>
      <w:r w:rsidRPr="0012339A">
        <w:rPr>
          <w:rFonts w:ascii="tohoma" w:hAnsi="tohoma"/>
          <w:b/>
          <w:sz w:val="20"/>
          <w:szCs w:val="20"/>
        </w:rPr>
        <w:t>Biểu đồ so sánh nợ công của Việt Nam với quốc tế -IMF</w:t>
      </w:r>
    </w:p>
    <w:p w14:paraId="084E6AC9" w14:textId="77777777" w:rsidR="0012339A" w:rsidRDefault="0012339A" w:rsidP="00A673CA">
      <w:pPr>
        <w:jc w:val="both"/>
        <w:rPr>
          <w:rFonts w:ascii="tohoma" w:hAnsi="tohoma"/>
          <w:sz w:val="20"/>
          <w:szCs w:val="20"/>
        </w:rPr>
      </w:pPr>
      <w:r>
        <w:rPr>
          <w:rFonts w:ascii="tohoma" w:hAnsi="tohoma"/>
          <w:noProof/>
          <w:sz w:val="20"/>
          <w:szCs w:val="20"/>
        </w:rPr>
        <mc:AlternateContent>
          <mc:Choice Requires="wps">
            <w:drawing>
              <wp:anchor distT="0" distB="0" distL="114300" distR="114300" simplePos="0" relativeHeight="251661312" behindDoc="0" locked="0" layoutInCell="1" allowOverlap="1" wp14:anchorId="198CEE6B" wp14:editId="4EA32B74">
                <wp:simplePos x="0" y="0"/>
                <wp:positionH relativeFrom="column">
                  <wp:posOffset>1371600</wp:posOffset>
                </wp:positionH>
                <wp:positionV relativeFrom="paragraph">
                  <wp:posOffset>63500</wp:posOffset>
                </wp:positionV>
                <wp:extent cx="33147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147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F72B2F" w14:textId="77777777" w:rsidR="0012339A" w:rsidRDefault="0012339A">
                            <w:r w:rsidRPr="00A673CA">
                              <w:rPr>
                                <w:rFonts w:ascii="tohoma" w:hAnsi="tohoma"/>
                                <w:noProof/>
                                <w:sz w:val="20"/>
                                <w:szCs w:val="20"/>
                              </w:rPr>
                              <w:drawing>
                                <wp:inline distT="0" distB="0" distL="0" distR="0" wp14:anchorId="12A4C15F" wp14:editId="559B0378">
                                  <wp:extent cx="3131215" cy="1780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1820" cy="17808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left:0;text-align:left;margin-left:108pt;margin-top:5pt;width:261pt;height:2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" filled="f" stroked="f">
                <v:textbox>
                  <w:txbxContent>
                    <w:p w14:paraId="1AF72B2F" w14:textId="77777777" w:rsidR="0012339A" w:rsidRDefault="0012339A">
                      <w:r w:rsidRPr="00A673CA">
                        <w:rPr>
                          <w:rFonts w:ascii="tohoma" w:hAnsi="tohoma"/>
                          <w:noProof/>
                          <w:sz w:val="20"/>
                          <w:szCs w:val="20"/>
                        </w:rPr>
                        <w:drawing>
                          <wp:inline distT="0" distB="0" distL="0" distR="0" wp14:anchorId="12A4C15F" wp14:editId="559B0378">
                            <wp:extent cx="3131215" cy="1780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1820" cy="1780884"/>
                                    </a:xfrm>
                                    <a:prstGeom prst="rect">
                                      <a:avLst/>
                                    </a:prstGeom>
                                    <a:noFill/>
                                    <a:ln>
                                      <a:noFill/>
                                    </a:ln>
                                  </pic:spPr>
                                </pic:pic>
                              </a:graphicData>
                            </a:graphic>
                          </wp:inline>
                        </w:drawing>
                      </w:r>
                    </w:p>
                  </w:txbxContent>
                </v:textbox>
                <w10:wrap type="square"/>
              </v:shape>
            </w:pict>
          </mc:Fallback>
        </mc:AlternateContent>
      </w:r>
    </w:p>
    <w:p w14:paraId="4363546C" w14:textId="77777777" w:rsidR="0012339A" w:rsidRPr="00A673CA" w:rsidRDefault="0012339A" w:rsidP="00A673CA">
      <w:pPr>
        <w:jc w:val="both"/>
        <w:rPr>
          <w:rFonts w:ascii="tohoma" w:hAnsi="tohoma"/>
          <w:sz w:val="20"/>
          <w:szCs w:val="20"/>
        </w:rPr>
      </w:pPr>
    </w:p>
    <w:p w14:paraId="54AA7DF0" w14:textId="77777777" w:rsidR="00A673CA" w:rsidRDefault="00A673CA" w:rsidP="00A673CA">
      <w:pPr>
        <w:jc w:val="both"/>
        <w:rPr>
          <w:rFonts w:ascii="tohoma" w:hAnsi="tohoma"/>
          <w:sz w:val="20"/>
          <w:szCs w:val="20"/>
        </w:rPr>
      </w:pPr>
    </w:p>
    <w:p w14:paraId="2BAE3DB3" w14:textId="77777777" w:rsidR="0012339A" w:rsidRDefault="0012339A" w:rsidP="00A673CA">
      <w:pPr>
        <w:jc w:val="both"/>
        <w:rPr>
          <w:rFonts w:ascii="tohoma" w:hAnsi="tohoma"/>
          <w:sz w:val="20"/>
          <w:szCs w:val="20"/>
        </w:rPr>
      </w:pPr>
    </w:p>
    <w:p w14:paraId="5681C9E0" w14:textId="77777777" w:rsidR="0012339A" w:rsidRDefault="0012339A" w:rsidP="00A673CA">
      <w:pPr>
        <w:jc w:val="both"/>
        <w:rPr>
          <w:rFonts w:ascii="tohoma" w:hAnsi="tohoma"/>
          <w:sz w:val="20"/>
          <w:szCs w:val="20"/>
        </w:rPr>
      </w:pPr>
    </w:p>
    <w:p w14:paraId="4C2A8C03" w14:textId="77777777" w:rsidR="0012339A" w:rsidRDefault="0012339A" w:rsidP="00A673CA">
      <w:pPr>
        <w:jc w:val="both"/>
        <w:rPr>
          <w:rFonts w:ascii="tohoma" w:hAnsi="tohoma"/>
          <w:sz w:val="20"/>
          <w:szCs w:val="20"/>
        </w:rPr>
      </w:pPr>
    </w:p>
    <w:p w14:paraId="174A2FAD" w14:textId="77777777" w:rsidR="0012339A" w:rsidRDefault="0012339A" w:rsidP="00A673CA">
      <w:pPr>
        <w:jc w:val="both"/>
        <w:rPr>
          <w:rFonts w:ascii="tohoma" w:hAnsi="tohoma"/>
          <w:sz w:val="20"/>
          <w:szCs w:val="20"/>
        </w:rPr>
      </w:pPr>
    </w:p>
    <w:p w14:paraId="1413B87F" w14:textId="77777777" w:rsidR="0012339A" w:rsidRDefault="0012339A" w:rsidP="00A673CA">
      <w:pPr>
        <w:jc w:val="both"/>
        <w:rPr>
          <w:rFonts w:ascii="tohoma" w:hAnsi="tohoma"/>
          <w:sz w:val="20"/>
          <w:szCs w:val="20"/>
        </w:rPr>
      </w:pPr>
    </w:p>
    <w:p w14:paraId="53999FE6" w14:textId="77777777" w:rsidR="0012339A" w:rsidRDefault="0012339A" w:rsidP="00A673CA">
      <w:pPr>
        <w:jc w:val="both"/>
        <w:rPr>
          <w:rFonts w:ascii="tohoma" w:hAnsi="tohoma"/>
          <w:sz w:val="20"/>
          <w:szCs w:val="20"/>
        </w:rPr>
      </w:pPr>
    </w:p>
    <w:p w14:paraId="47982A7F" w14:textId="77777777" w:rsidR="0012339A" w:rsidRDefault="0012339A" w:rsidP="00A673CA">
      <w:pPr>
        <w:jc w:val="both"/>
        <w:rPr>
          <w:rFonts w:ascii="tohoma" w:hAnsi="tohoma"/>
          <w:sz w:val="20"/>
          <w:szCs w:val="20"/>
        </w:rPr>
      </w:pPr>
    </w:p>
    <w:p w14:paraId="33A33237" w14:textId="77777777" w:rsidR="0012339A" w:rsidRDefault="0012339A" w:rsidP="00A673CA">
      <w:pPr>
        <w:jc w:val="both"/>
        <w:rPr>
          <w:rFonts w:ascii="tohoma" w:hAnsi="tohoma"/>
          <w:sz w:val="20"/>
          <w:szCs w:val="20"/>
        </w:rPr>
      </w:pPr>
    </w:p>
    <w:p w14:paraId="16CA26EC" w14:textId="77777777" w:rsidR="0012339A" w:rsidRDefault="0012339A" w:rsidP="00A673CA">
      <w:pPr>
        <w:jc w:val="both"/>
        <w:rPr>
          <w:rFonts w:ascii="tohoma" w:hAnsi="tohoma"/>
          <w:sz w:val="20"/>
          <w:szCs w:val="20"/>
        </w:rPr>
      </w:pPr>
    </w:p>
    <w:p w14:paraId="6443F563" w14:textId="77777777" w:rsidR="0012339A" w:rsidRDefault="0012339A" w:rsidP="00A673CA">
      <w:pPr>
        <w:jc w:val="both"/>
        <w:rPr>
          <w:rFonts w:ascii="tohoma" w:hAnsi="tohoma"/>
          <w:sz w:val="20"/>
          <w:szCs w:val="20"/>
        </w:rPr>
      </w:pPr>
    </w:p>
    <w:p w14:paraId="1E29C603" w14:textId="77777777" w:rsidR="0012339A" w:rsidRDefault="0012339A" w:rsidP="00A673CA">
      <w:pPr>
        <w:jc w:val="both"/>
        <w:rPr>
          <w:rFonts w:ascii="tohoma" w:hAnsi="tohoma"/>
          <w:sz w:val="20"/>
          <w:szCs w:val="20"/>
        </w:rPr>
      </w:pPr>
    </w:p>
    <w:p w14:paraId="439E1BE9" w14:textId="77777777" w:rsidR="00A673CA" w:rsidRPr="00A673CA" w:rsidRDefault="00A673CA" w:rsidP="00A673CA">
      <w:pPr>
        <w:jc w:val="both"/>
        <w:rPr>
          <w:rFonts w:ascii="tohoma" w:hAnsi="tohoma"/>
          <w:sz w:val="20"/>
          <w:szCs w:val="20"/>
        </w:rPr>
      </w:pPr>
      <w:r w:rsidRPr="00A673CA">
        <w:rPr>
          <w:rFonts w:ascii="tohoma" w:hAnsi="tohoma"/>
          <w:sz w:val="20"/>
          <w:szCs w:val="20"/>
        </w:rPr>
        <w:t>Tình hình nợ công của chính phủ năm 2017 giảm 1% so với 2016 ( Năm 2017 là 62,6%/GDP so với năm 2016 là 63,6%/GDP) tuy nhiên tính theo giá trị tuyệt đối thì nợ công tăng thêm 300 nghìn tỷ đồng so với năm 2016 (Nợ công năm 2017 là 3,130 triệu tỷ đồng so với năm 2016 đạt 2,860 triệu tỷ đồng).</w:t>
      </w:r>
    </w:p>
    <w:p w14:paraId="23A183AD" w14:textId="77777777" w:rsidR="00A673CA" w:rsidRPr="00A673CA" w:rsidRDefault="00A673CA" w:rsidP="00A673CA">
      <w:pPr>
        <w:jc w:val="both"/>
        <w:rPr>
          <w:rFonts w:ascii="tohoma" w:hAnsi="tohoma"/>
          <w:sz w:val="20"/>
          <w:szCs w:val="20"/>
        </w:rPr>
      </w:pPr>
      <w:r w:rsidRPr="00A673CA">
        <w:rPr>
          <w:rFonts w:ascii="tohoma" w:hAnsi="tohoma"/>
          <w:sz w:val="20"/>
          <w:szCs w:val="20"/>
        </w:rPr>
        <w:t>Nợ công trong năm 2017 đạt mức 62,6% tương ứng với mức GDP là 5,1 tỷ đồng, theo đánh giá của thủ tướng thì mức nợ công của Việt Nam năm 2017 đạt mức an toàn so với mức trần là 65%.</w:t>
      </w:r>
    </w:p>
    <w:p w14:paraId="06454903" w14:textId="77777777" w:rsidR="00A673CA" w:rsidRPr="00A673CA" w:rsidRDefault="00A673CA" w:rsidP="00A673CA">
      <w:pPr>
        <w:jc w:val="both"/>
        <w:rPr>
          <w:rFonts w:ascii="tohoma" w:hAnsi="tohoma"/>
          <w:sz w:val="20"/>
          <w:szCs w:val="20"/>
        </w:rPr>
      </w:pPr>
      <w:r w:rsidRPr="00A673CA">
        <w:rPr>
          <w:rFonts w:ascii="tohoma" w:hAnsi="tohoma"/>
          <w:sz w:val="20"/>
          <w:szCs w:val="20"/>
        </w:rPr>
        <w:t>So với dân số năm 2017 là khoảng 94 triệu người thì tỉ lệ nợ tình trên đầu người là khoảng 33 triệu đồng.</w:t>
      </w:r>
    </w:p>
    <w:p w14:paraId="2B0E9E4E" w14:textId="77777777" w:rsidR="00A673CA" w:rsidRPr="00A673CA" w:rsidRDefault="00A673CA" w:rsidP="00A673CA">
      <w:pPr>
        <w:jc w:val="both"/>
        <w:rPr>
          <w:rFonts w:ascii="tohoma" w:hAnsi="tohoma"/>
          <w:sz w:val="20"/>
          <w:szCs w:val="20"/>
        </w:rPr>
      </w:pPr>
      <w:r w:rsidRPr="00A673CA">
        <w:rPr>
          <w:rFonts w:ascii="tohoma" w:hAnsi="tohoma"/>
          <w:sz w:val="20"/>
          <w:szCs w:val="20"/>
        </w:rPr>
        <w:t>Tình hình nợ công vẫn đang được kiểm soát chặt chẽ, và có xu hướng tích cực, sức ép nợ công cũng giảm xuống (nợ trực tiếp chiếm 19,2% so với mức cho phép 25%) nhờ sự thay đổi cơ cấu quản lý để khắc phục tình trạng “một nhà 3 cửa vay” là: thay đổi thành 3 cơ quan phối hợp (Bộ Tài Chính, Ngân Hàng,Bộ Kế Hoạch và Đầu Tư) thay vì chỉ có bộ tài chính phải chịu trách nhiệm về khoản nợ công Chính phủ.</w:t>
      </w:r>
    </w:p>
    <w:p w14:paraId="6ADBE23C" w14:textId="77777777" w:rsidR="00A673CA" w:rsidRPr="00A673CA" w:rsidRDefault="00A673CA" w:rsidP="00A673CA">
      <w:pPr>
        <w:jc w:val="both"/>
        <w:rPr>
          <w:rFonts w:ascii="tohoma" w:hAnsi="tohoma"/>
          <w:sz w:val="20"/>
          <w:szCs w:val="20"/>
        </w:rPr>
      </w:pPr>
      <w:r w:rsidRPr="00A673CA">
        <w:rPr>
          <w:rFonts w:ascii="tohoma" w:hAnsi="tohoma"/>
          <w:sz w:val="20"/>
          <w:szCs w:val="20"/>
        </w:rPr>
        <w:t>Theo báo cáo của bộ tài chính, nợ công của Việt Nam trong năm 2018 sẽ tăng lại và đạt mức đỉnh mới 63,9%, tuy rằng mức nợ công vẫn nằm trong giới hạn cho phép, nhưng tỉ trọng nợ công so với GDP của Việt Nam vẫn rất cao so với quốc gia khác, có thể khẳng định rằng Việt Nam thuộc nhóm có mức nợ công cao so với tổng thu nhập quốc dân(GDP) trên thế giới.</w:t>
      </w:r>
    </w:p>
    <w:p w14:paraId="10831814" w14:textId="77777777" w:rsidR="00A673CA" w:rsidRPr="00A673CA" w:rsidRDefault="00A673CA" w:rsidP="00A673CA">
      <w:pPr>
        <w:jc w:val="both"/>
        <w:rPr>
          <w:rFonts w:ascii="tohoma" w:hAnsi="tohoma"/>
          <w:sz w:val="20"/>
          <w:szCs w:val="20"/>
        </w:rPr>
      </w:pPr>
      <w:bookmarkStart w:id="5" w:name="_Toc511330846"/>
      <w:r w:rsidRPr="00A673CA">
        <w:rPr>
          <w:rFonts w:ascii="tohoma" w:hAnsi="tohoma"/>
          <w:sz w:val="20"/>
          <w:szCs w:val="20"/>
        </w:rPr>
        <w:t>Khả năng trả nợ của chính phủ:</w:t>
      </w:r>
      <w:bookmarkEnd w:id="5"/>
      <w:r w:rsidR="0012339A">
        <w:rPr>
          <w:rFonts w:ascii="tohoma" w:hAnsi="tohoma"/>
          <w:sz w:val="20"/>
          <w:szCs w:val="20"/>
        </w:rPr>
        <w:t xml:space="preserve"> </w:t>
      </w:r>
      <w:r w:rsidRPr="00A673CA">
        <w:rPr>
          <w:rFonts w:ascii="tohoma" w:hAnsi="tohoma"/>
          <w:sz w:val="20"/>
          <w:szCs w:val="20"/>
        </w:rPr>
        <w:t>Theo báo cáo của bộ tài chính, khoảng vay của Chính phủ nhằm để chi tiêu vẫn nằm trong mức báo động, khoảng thu ngân sách trong năm nay không đủ để nhà nước chi tiêu. Vì vậy, việc trả nợ trong tương lai vẫn còn là nỗi đáng lo ngại.</w:t>
      </w:r>
    </w:p>
    <w:p w14:paraId="103F698C" w14:textId="77777777" w:rsidR="00A673CA" w:rsidRPr="00A673CA" w:rsidRDefault="00A673CA" w:rsidP="00A673CA">
      <w:pPr>
        <w:jc w:val="both"/>
        <w:rPr>
          <w:rFonts w:ascii="tohoma" w:hAnsi="tohoma"/>
          <w:sz w:val="20"/>
          <w:szCs w:val="20"/>
        </w:rPr>
      </w:pPr>
      <w:r w:rsidRPr="00A673CA">
        <w:rPr>
          <w:rFonts w:ascii="tohoma" w:hAnsi="tohoma"/>
          <w:sz w:val="20"/>
          <w:szCs w:val="20"/>
        </w:rPr>
        <w:t>Theo luật Chính phủ, nếu khoảng nợ công lớn phải giảm chi phí, tuy nhiên với nền kinh tế Việt Nam còn nhiều khó khăn bất cập nên chi phí ngày càng tăng thêm, vì vậy khoảng nợ vẫn tiếp  tục tăng thêm.Các chính sách chưa áp dụng triệt để và hiệu quả, nguồn thu ngân sách còn đọng lại lớn, việc chi tiêu ngân sách không phù hợp còn lãng phí, gây cản trở trong việc trả nợ của Chính phủ.</w:t>
      </w:r>
    </w:p>
    <w:p w14:paraId="6BC0CEC3" w14:textId="77777777" w:rsidR="00A673CA" w:rsidRPr="00A673CA" w:rsidRDefault="00A673CA" w:rsidP="00A673CA">
      <w:pPr>
        <w:jc w:val="both"/>
        <w:rPr>
          <w:rFonts w:ascii="tohoma" w:hAnsi="tohoma"/>
          <w:sz w:val="20"/>
          <w:szCs w:val="20"/>
        </w:rPr>
      </w:pPr>
      <w:r w:rsidRPr="00A673CA">
        <w:rPr>
          <w:rFonts w:ascii="tohoma" w:hAnsi="tohoma"/>
          <w:sz w:val="20"/>
          <w:szCs w:val="20"/>
        </w:rPr>
        <w:t>Kỳ hạn nợ trung bình của Việt Nam vẫn còn thấp, tạo sức ép trả nợ trong năm tới. Bên cạnh đó việc tín nhiệm Chính phủ ở mức thấp và tiếp cận ODA ngày càng khó khăn làm cho chi phí vay vốn ngày càng tăng, tỉ giá hối đoái ngày càng tăng dần, tác động mạnh đến nền kinh tế làm kinh tế khó ổn định hơn, rủi ro tăng thêm, nợ công ngày càng nhiều dần, khả năng trả nợ thấp dần.</w:t>
      </w:r>
    </w:p>
    <w:p w14:paraId="5EC903CD" w14:textId="77777777" w:rsidR="00A673CA" w:rsidRPr="00A673CA" w:rsidRDefault="00A673CA" w:rsidP="00A673CA">
      <w:pPr>
        <w:jc w:val="both"/>
        <w:rPr>
          <w:rFonts w:ascii="tohoma" w:hAnsi="tohoma"/>
          <w:sz w:val="20"/>
          <w:szCs w:val="20"/>
        </w:rPr>
      </w:pPr>
      <w:r w:rsidRPr="00A673CA">
        <w:rPr>
          <w:rFonts w:ascii="tohoma" w:hAnsi="tohoma"/>
          <w:sz w:val="20"/>
          <w:szCs w:val="20"/>
        </w:rPr>
        <w:t>Như vậy,trong năm nay việc trả nợ của Việt Nam đều hoàn thành việc trả nợ đúng cam kết nhưng hệ số thanh toán trả nợ lại cao lên, ngoài ra lãi suất vay ưu đãi càng tăng thêm gây gánh nợ về việc nợ vay nước ngoài của Chính phủ.</w:t>
      </w:r>
    </w:p>
    <w:p w14:paraId="60A3BE24" w14:textId="77777777" w:rsidR="00A673CA" w:rsidRPr="00A673CA" w:rsidRDefault="00A673CA" w:rsidP="00A673CA">
      <w:pPr>
        <w:jc w:val="both"/>
        <w:rPr>
          <w:rFonts w:ascii="tohoma" w:hAnsi="tohoma"/>
          <w:sz w:val="20"/>
          <w:szCs w:val="20"/>
        </w:rPr>
      </w:pPr>
      <w:bookmarkStart w:id="6" w:name="_Toc511330847"/>
      <w:r w:rsidRPr="00A673CA">
        <w:rPr>
          <w:rFonts w:ascii="tohoma" w:hAnsi="tohoma"/>
          <w:sz w:val="20"/>
          <w:szCs w:val="20"/>
        </w:rPr>
        <w:t>Nguyên nhân dẫn đến nợ công :</w:t>
      </w:r>
      <w:bookmarkEnd w:id="6"/>
    </w:p>
    <w:p w14:paraId="04C24FC9" w14:textId="77777777" w:rsidR="00A673CA" w:rsidRPr="00A673CA" w:rsidRDefault="00A673CA" w:rsidP="00A673CA">
      <w:pPr>
        <w:jc w:val="both"/>
        <w:rPr>
          <w:rFonts w:ascii="tohoma" w:hAnsi="tohoma"/>
          <w:sz w:val="20"/>
          <w:szCs w:val="20"/>
        </w:rPr>
      </w:pPr>
      <w:r w:rsidRPr="00A673CA">
        <w:rPr>
          <w:rFonts w:ascii="tohoma" w:hAnsi="tohoma"/>
          <w:sz w:val="20"/>
          <w:szCs w:val="20"/>
        </w:rPr>
        <w:t>Trong bối cảnh phát triển của nền kinh tế hiện nay, cần phải đẩy mạnh phát triển về cơ sở hạ tầng, quá trình hiện đại hóa, tăng trưởng phát triển kinh tế, song song với sự phát triển là việc điều tiết tăng trưởng nợ phải được đảm bảo ở mức an toàn (trần nợ công là 65% và nợ nước ngoài là 50%).</w:t>
      </w:r>
    </w:p>
    <w:p w14:paraId="2D7B8A4B" w14:textId="3BF4835B" w:rsidR="00A673CA" w:rsidRPr="0012339A" w:rsidRDefault="00A673CA" w:rsidP="00A673CA">
      <w:pPr>
        <w:jc w:val="both"/>
        <w:rPr>
          <w:rFonts w:ascii="tohoma" w:hAnsi="tohoma"/>
          <w:i/>
          <w:sz w:val="20"/>
          <w:szCs w:val="20"/>
        </w:rPr>
      </w:pPr>
      <w:r w:rsidRPr="0012339A">
        <w:rPr>
          <w:rFonts w:ascii="tohoma" w:hAnsi="tohoma"/>
          <w:i/>
          <w:sz w:val="20"/>
          <w:szCs w:val="20"/>
        </w:rPr>
        <w:t>Một số nguyên nhân dẫn đến nợ công ở nước ta là:</w:t>
      </w:r>
      <w:r w:rsidR="0012339A" w:rsidRPr="0012339A">
        <w:rPr>
          <w:rFonts w:ascii="tohoma" w:hAnsi="tohoma"/>
          <w:i/>
          <w:sz w:val="20"/>
          <w:szCs w:val="20"/>
        </w:rPr>
        <w:t xml:space="preserve"> </w:t>
      </w:r>
    </w:p>
    <w:p w14:paraId="77752287" w14:textId="77777777" w:rsidR="00A673CA" w:rsidRPr="00A673CA" w:rsidRDefault="00A673CA" w:rsidP="00A673CA">
      <w:pPr>
        <w:jc w:val="both"/>
        <w:rPr>
          <w:rFonts w:ascii="tohoma" w:hAnsi="tohoma"/>
          <w:sz w:val="20"/>
          <w:szCs w:val="20"/>
        </w:rPr>
      </w:pPr>
      <w:r w:rsidRPr="00A673CA">
        <w:rPr>
          <w:rFonts w:ascii="tohoma" w:hAnsi="tohoma"/>
          <w:sz w:val="20"/>
          <w:szCs w:val="20"/>
        </w:rPr>
        <w:t>Việc bội chi ngân sách nhà nước để quá lớn và kéo dài, vì vậy phải phụ thuộc vào việc vay nợ để bù đắp thâm hụt ngân sách ( thâm hụt thương mại chiến phần lớn và kéo dài, xây dựng cơ sở hạ tầng, dự án lớn tốn chi phí cao)</w:t>
      </w:r>
    </w:p>
    <w:p w14:paraId="63BA9997" w14:textId="77777777" w:rsidR="00A673CA" w:rsidRPr="00A673CA" w:rsidRDefault="00A673CA" w:rsidP="00A673CA">
      <w:pPr>
        <w:jc w:val="both"/>
        <w:rPr>
          <w:rFonts w:ascii="tohoma" w:hAnsi="tohoma"/>
          <w:sz w:val="20"/>
          <w:szCs w:val="20"/>
        </w:rPr>
      </w:pPr>
      <w:r w:rsidRPr="00A673CA">
        <w:rPr>
          <w:rFonts w:ascii="tohoma" w:hAnsi="tohoma"/>
          <w:sz w:val="20"/>
          <w:szCs w:val="20"/>
        </w:rPr>
        <w:t>Giá trị đồng tiền bị mất giá nhiều hơn so với các nước chủ vay cho vay vốn như: Nhật Bản(JPY), Mỹ (USD), EU(EUR),..tạo ra sự chênh lệch giữa các giá trị tiền quá lớn, gây mất cân đối ngoại tệ, việc trả nợ ngày càng khó khăn.</w:t>
      </w:r>
    </w:p>
    <w:p w14:paraId="08A31C23" w14:textId="77777777" w:rsidR="00A673CA" w:rsidRPr="00A673CA" w:rsidRDefault="00A673CA" w:rsidP="00A673CA">
      <w:pPr>
        <w:jc w:val="both"/>
        <w:rPr>
          <w:rFonts w:ascii="tohoma" w:hAnsi="tohoma"/>
          <w:sz w:val="20"/>
          <w:szCs w:val="20"/>
        </w:rPr>
      </w:pPr>
      <w:r w:rsidRPr="00A673CA">
        <w:rPr>
          <w:rFonts w:ascii="tohoma" w:hAnsi="tohoma"/>
          <w:sz w:val="20"/>
          <w:szCs w:val="20"/>
        </w:rPr>
        <w:t>Thâm hụt ngân sách ngày càng lớn, tuy nhiên đầu tư ngày càng mở rộng cùng với lạm phát và lãi suất cao gây cản trở quá trình trả nợ.</w:t>
      </w:r>
    </w:p>
    <w:p w14:paraId="747B1BDD" w14:textId="77777777" w:rsidR="00A673CA" w:rsidRPr="00A673CA" w:rsidRDefault="00A673CA" w:rsidP="00A673CA">
      <w:pPr>
        <w:jc w:val="both"/>
        <w:rPr>
          <w:rFonts w:ascii="tohoma" w:hAnsi="tohoma"/>
          <w:sz w:val="20"/>
          <w:szCs w:val="20"/>
        </w:rPr>
      </w:pPr>
      <w:r w:rsidRPr="00A673CA">
        <w:rPr>
          <w:rFonts w:ascii="tohoma" w:hAnsi="tohoma"/>
          <w:sz w:val="20"/>
          <w:szCs w:val="20"/>
        </w:rPr>
        <w:t>Đầu tư công liên tục gia tăng làm giảm hiệu suất tăng trưởng, lãng phí nhiều mà chất lượng kém, buộc nhà nước phải tăng thu ngân sách để trả nợ.</w:t>
      </w:r>
    </w:p>
    <w:p w14:paraId="31E8F37C" w14:textId="77777777" w:rsidR="00A673CA" w:rsidRPr="00A673CA" w:rsidRDefault="00A673CA" w:rsidP="00A673CA">
      <w:pPr>
        <w:jc w:val="both"/>
        <w:rPr>
          <w:rFonts w:ascii="tohoma" w:hAnsi="tohoma"/>
          <w:sz w:val="20"/>
          <w:szCs w:val="20"/>
        </w:rPr>
      </w:pPr>
      <w:r w:rsidRPr="00A673CA">
        <w:rPr>
          <w:rFonts w:ascii="tohoma" w:hAnsi="tohoma"/>
          <w:sz w:val="20"/>
          <w:szCs w:val="20"/>
        </w:rPr>
        <w:t xml:space="preserve">Công tác đẩy mạnh phát triển kinh tế - xã hội của chính phủ </w:t>
      </w:r>
      <w:r w:rsidR="0012339A">
        <w:rPr>
          <w:rFonts w:ascii="tohoma" w:hAnsi="tohoma"/>
          <w:sz w:val="20"/>
          <w:szCs w:val="20"/>
        </w:rPr>
        <w:t>còn nhiều bất cập và hạn chế</w:t>
      </w:r>
      <w:r w:rsidR="0012339A">
        <w:rPr>
          <w:rFonts w:ascii="tohoma" w:hAnsi="tohoma" w:hint="eastAsia"/>
          <w:sz w:val="20"/>
          <w:szCs w:val="20"/>
        </w:rPr>
        <w:t>…</w:t>
      </w:r>
      <w:r w:rsidR="0012339A">
        <w:rPr>
          <w:rFonts w:ascii="tohoma" w:hAnsi="tohoma"/>
          <w:sz w:val="20"/>
          <w:szCs w:val="20"/>
        </w:rPr>
        <w:t>.</w:t>
      </w:r>
    </w:p>
    <w:p w14:paraId="14534425" w14:textId="77777777" w:rsidR="00833F8F" w:rsidRPr="00722FF6" w:rsidRDefault="00BA43E3" w:rsidP="00833F8F">
      <w:pPr>
        <w:spacing w:after="120"/>
        <w:jc w:val="both"/>
        <w:rPr>
          <w:rFonts w:ascii="tohoma" w:hAnsi="tohoma" w:cs="Tahoma"/>
          <w:b/>
          <w:i/>
          <w:sz w:val="20"/>
          <w:szCs w:val="20"/>
          <w:lang w:val="vi-VN"/>
        </w:rPr>
      </w:pPr>
      <w:r>
        <w:rPr>
          <w:rFonts w:ascii="tohoma" w:hAnsi="tohoma" w:cs="Tahoma"/>
          <w:b/>
          <w:i/>
          <w:sz w:val="20"/>
          <w:szCs w:val="20"/>
          <w:lang w:val="vi-VN"/>
        </w:rPr>
        <w:t>Bài viết</w:t>
      </w:r>
      <w:r w:rsidR="00F74C31" w:rsidRPr="00722FF6">
        <w:rPr>
          <w:rFonts w:ascii="tohoma" w:hAnsi="tohoma" w:cs="Tahoma"/>
          <w:b/>
          <w:i/>
          <w:sz w:val="20"/>
          <w:szCs w:val="20"/>
          <w:lang w:val="vi-VN"/>
        </w:rPr>
        <w:t xml:space="preserve"> </w:t>
      </w:r>
      <w:r w:rsidR="00B35E58">
        <w:rPr>
          <w:rFonts w:ascii="tohoma" w:hAnsi="tohoma" w:cs="Tahoma"/>
          <w:b/>
          <w:i/>
          <w:sz w:val="20"/>
          <w:szCs w:val="20"/>
          <w:lang w:val="vi-VN"/>
        </w:rPr>
        <w:t>được tổng hợp từ phân tích của các chuyên gia kinh tế qua các địa chỉ</w:t>
      </w:r>
      <w:r w:rsidR="00F74C31" w:rsidRPr="00722FF6">
        <w:rPr>
          <w:rFonts w:ascii="tohoma" w:hAnsi="tohoma" w:cs="Tahoma"/>
          <w:b/>
          <w:i/>
          <w:sz w:val="20"/>
          <w:szCs w:val="20"/>
          <w:lang w:val="vi-VN"/>
        </w:rPr>
        <w:t>:</w:t>
      </w:r>
    </w:p>
    <w:p w14:paraId="596A0127" w14:textId="77777777" w:rsidR="00BC52FC" w:rsidRPr="00A673CA" w:rsidRDefault="00BC0690" w:rsidP="00BC52FC">
      <w:pPr>
        <w:jc w:val="both"/>
        <w:rPr>
          <w:rFonts w:ascii="tohoma" w:hAnsi="tohoma"/>
          <w:i/>
          <w:sz w:val="20"/>
          <w:szCs w:val="20"/>
        </w:rPr>
      </w:pPr>
      <w:r w:rsidRPr="00722FF6">
        <w:rPr>
          <w:rFonts w:ascii="tohoma" w:hAnsi="tohoma"/>
          <w:i/>
          <w:sz w:val="20"/>
          <w:szCs w:val="20"/>
        </w:rPr>
        <w:t xml:space="preserve">[1]. </w:t>
      </w:r>
      <w:r w:rsidR="00A673CA" w:rsidRPr="00A673CA">
        <w:rPr>
          <w:rFonts w:ascii="tohoma" w:hAnsi="tohoma"/>
          <w:i/>
          <w:sz w:val="20"/>
          <w:szCs w:val="20"/>
        </w:rPr>
        <w:t>https://</w:t>
      </w:r>
      <w:r w:rsidR="0012339A">
        <w:rPr>
          <w:rFonts w:ascii="tohoma" w:hAnsi="tohoma"/>
          <w:i/>
          <w:sz w:val="20"/>
          <w:szCs w:val="20"/>
        </w:rPr>
        <w:t>tapchitaichinh.vn</w:t>
      </w:r>
    </w:p>
    <w:p w14:paraId="52BB1A78" w14:textId="77777777" w:rsidR="00A673CA" w:rsidRPr="00A673CA" w:rsidRDefault="00BC52FC" w:rsidP="00A673CA">
      <w:pPr>
        <w:jc w:val="both"/>
        <w:rPr>
          <w:rFonts w:ascii="tohoma" w:hAnsi="tohoma"/>
          <w:i/>
          <w:sz w:val="20"/>
          <w:szCs w:val="20"/>
        </w:rPr>
      </w:pPr>
      <w:r w:rsidRPr="00722FF6">
        <w:rPr>
          <w:rFonts w:ascii="tohoma" w:hAnsi="tohoma"/>
          <w:i/>
          <w:sz w:val="20"/>
          <w:szCs w:val="20"/>
        </w:rPr>
        <w:t>[2].</w:t>
      </w:r>
      <w:hyperlink r:id="rId12" w:history="1">
        <w:r w:rsidR="00A673CA" w:rsidRPr="00A673CA">
          <w:rPr>
            <w:rFonts w:ascii="tohoma" w:hAnsi="tohoma"/>
            <w:i/>
            <w:sz w:val="20"/>
            <w:szCs w:val="20"/>
          </w:rPr>
          <w:t>https://vietstock.vn</w:t>
        </w:r>
      </w:hyperlink>
    </w:p>
    <w:p w14:paraId="6EF35D9C" w14:textId="77777777" w:rsidR="00A673CA" w:rsidRPr="00A673CA" w:rsidRDefault="00A673CA" w:rsidP="00972876">
      <w:pPr>
        <w:jc w:val="both"/>
        <w:rPr>
          <w:rFonts w:ascii="tohoma" w:hAnsi="tohoma"/>
          <w:i/>
          <w:sz w:val="20"/>
          <w:szCs w:val="20"/>
        </w:rPr>
      </w:pPr>
      <w:r w:rsidRPr="00722FF6">
        <w:rPr>
          <w:rFonts w:ascii="tohoma" w:hAnsi="tohoma"/>
          <w:i/>
          <w:sz w:val="20"/>
          <w:szCs w:val="20"/>
        </w:rPr>
        <w:t>[3].</w:t>
      </w:r>
      <w:r w:rsidR="0012339A" w:rsidRPr="0012339A">
        <w:rPr>
          <w:rFonts w:ascii="tohoma" w:hAnsi="tohoma"/>
          <w:i/>
          <w:sz w:val="20"/>
          <w:szCs w:val="20"/>
        </w:rPr>
        <w:t>http://vietnamnet.vn</w:t>
      </w:r>
    </w:p>
    <w:p w14:paraId="095B18B8" w14:textId="77777777" w:rsidR="00F74C31" w:rsidRPr="0012339A" w:rsidRDefault="00BC52FC" w:rsidP="00972876">
      <w:pPr>
        <w:jc w:val="both"/>
        <w:rPr>
          <w:rFonts w:ascii="tohoma" w:hAnsi="tohoma"/>
          <w:i/>
          <w:sz w:val="20"/>
          <w:szCs w:val="20"/>
        </w:rPr>
      </w:pPr>
      <w:r w:rsidRPr="00722FF6">
        <w:rPr>
          <w:rFonts w:ascii="tohoma" w:hAnsi="tohoma"/>
          <w:i/>
          <w:sz w:val="20"/>
          <w:szCs w:val="20"/>
        </w:rPr>
        <w:t>[4].</w:t>
      </w:r>
      <w:hyperlink r:id="rId13" w:history="1">
        <w:r w:rsidR="00A673CA" w:rsidRPr="0012339A">
          <w:rPr>
            <w:rFonts w:ascii="tohoma" w:hAnsi="tohoma"/>
            <w:i/>
            <w:sz w:val="20"/>
            <w:szCs w:val="20"/>
          </w:rPr>
          <w:t>http://baochinhphu.vn/</w:t>
        </w:r>
      </w:hyperlink>
    </w:p>
    <w:sectPr w:rsidR="00F74C31" w:rsidRPr="0012339A" w:rsidSect="00AC1527">
      <w:footerReference w:type="default" r:id="rId14"/>
      <w:pgSz w:w="11900"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8E202" w14:textId="77777777" w:rsidR="004B66B5" w:rsidRDefault="004B66B5" w:rsidP="00372B02">
      <w:r>
        <w:separator/>
      </w:r>
    </w:p>
  </w:endnote>
  <w:endnote w:type="continuationSeparator" w:id="0">
    <w:p w14:paraId="1DBAA0C9" w14:textId="77777777" w:rsidR="004B66B5" w:rsidRDefault="004B66B5" w:rsidP="0037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Helvetica Neue Light"/>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ohoma">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84665" w14:textId="77777777" w:rsidR="004B66B5" w:rsidRPr="00372B02" w:rsidRDefault="004B66B5" w:rsidP="00372B02">
    <w:pPr>
      <w:pStyle w:val="Footer"/>
      <w:pBdr>
        <w:top w:val="single" w:sz="4" w:space="1" w:color="D9D9D9"/>
      </w:pBdr>
      <w:jc w:val="center"/>
      <w:rPr>
        <w:rFonts w:ascii="Tahoma" w:hAnsi="Tahoma" w:cs="Tahoma"/>
        <w:sz w:val="16"/>
        <w:szCs w:val="16"/>
        <w:lang w:val="vi-VN"/>
      </w:rPr>
    </w:pPr>
    <w:r w:rsidRPr="00372B02">
      <w:rPr>
        <w:rFonts w:ascii="Tahoma" w:hAnsi="Tahoma" w:cs="Tahoma"/>
        <w:sz w:val="16"/>
        <w:szCs w:val="16"/>
      </w:rPr>
      <w:fldChar w:fldCharType="begin"/>
    </w:r>
    <w:r w:rsidRPr="00372B02">
      <w:rPr>
        <w:rFonts w:ascii="Tahoma" w:hAnsi="Tahoma" w:cs="Tahoma"/>
        <w:sz w:val="16"/>
        <w:szCs w:val="16"/>
      </w:rPr>
      <w:instrText xml:space="preserve"> PAGE   \* MERGEFORMAT </w:instrText>
    </w:r>
    <w:r w:rsidRPr="00372B02">
      <w:rPr>
        <w:rFonts w:ascii="Tahoma" w:hAnsi="Tahoma" w:cs="Tahoma"/>
        <w:sz w:val="16"/>
        <w:szCs w:val="16"/>
      </w:rPr>
      <w:fldChar w:fldCharType="separate"/>
    </w:r>
    <w:r w:rsidR="00AD40C0">
      <w:rPr>
        <w:rFonts w:ascii="Tahoma" w:hAnsi="Tahoma" w:cs="Tahoma"/>
        <w:noProof/>
        <w:sz w:val="16"/>
        <w:szCs w:val="16"/>
      </w:rPr>
      <w:t>1</w:t>
    </w:r>
    <w:r w:rsidRPr="00372B02">
      <w:rPr>
        <w:rFonts w:ascii="Tahoma" w:hAnsi="Tahoma" w:cs="Tahoma"/>
        <w:sz w:val="16"/>
        <w:szCs w:val="16"/>
      </w:rPr>
      <w:fldChar w:fldCharType="end"/>
    </w:r>
    <w:r>
      <w:rPr>
        <w:rFonts w:ascii="Tahoma" w:hAnsi="Tahoma" w:cs="Tahoma"/>
        <w:sz w:val="16"/>
        <w:szCs w:val="16"/>
      </w:rPr>
      <w:t xml:space="preserve"> </w:t>
    </w:r>
  </w:p>
  <w:p w14:paraId="73C16FC6" w14:textId="77777777" w:rsidR="004B66B5" w:rsidRDefault="004B66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6DDE6" w14:textId="77777777" w:rsidR="004B66B5" w:rsidRDefault="004B66B5" w:rsidP="00372B02">
      <w:r>
        <w:separator/>
      </w:r>
    </w:p>
  </w:footnote>
  <w:footnote w:type="continuationSeparator" w:id="0">
    <w:p w14:paraId="5AA0ECAF" w14:textId="77777777" w:rsidR="004B66B5" w:rsidRDefault="004B66B5" w:rsidP="00372B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v:imagedata r:id="rId1" o:title="mso8B20"/>
      </v:shape>
    </w:pict>
  </w:numPicBullet>
  <w:abstractNum w:abstractNumId="0">
    <w:nsid w:val="FFFFFF1D"/>
    <w:multiLevelType w:val="multilevel"/>
    <w:tmpl w:val="1514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C42DA"/>
    <w:multiLevelType w:val="hybridMultilevel"/>
    <w:tmpl w:val="15A48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329DE"/>
    <w:multiLevelType w:val="multilevel"/>
    <w:tmpl w:val="EC12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D41A7"/>
    <w:multiLevelType w:val="hybridMultilevel"/>
    <w:tmpl w:val="AF865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912A6"/>
    <w:multiLevelType w:val="hybridMultilevel"/>
    <w:tmpl w:val="C3F652E2"/>
    <w:lvl w:ilvl="0" w:tplc="30E2CD1E">
      <w:start w:val="1"/>
      <w:numFmt w:val="decimal"/>
      <w:lvlText w:val="%1."/>
      <w:lvlJc w:val="left"/>
      <w:pPr>
        <w:ind w:left="141" w:hanging="221"/>
      </w:pPr>
      <w:rPr>
        <w:rFonts w:ascii="Times New Roman" w:eastAsia="Times New Roman" w:hAnsi="Times New Roman" w:cs="Times New Roman" w:hint="default"/>
        <w:b/>
        <w:bCs/>
        <w:w w:val="100"/>
        <w:sz w:val="22"/>
        <w:szCs w:val="22"/>
      </w:rPr>
    </w:lvl>
    <w:lvl w:ilvl="1" w:tplc="7BCCC5B8">
      <w:numFmt w:val="none"/>
      <w:lvlText w:val=""/>
      <w:lvlJc w:val="left"/>
      <w:pPr>
        <w:tabs>
          <w:tab w:val="num" w:pos="360"/>
        </w:tabs>
      </w:pPr>
    </w:lvl>
    <w:lvl w:ilvl="2" w:tplc="C43833BA">
      <w:numFmt w:val="bullet"/>
      <w:lvlText w:val="-"/>
      <w:lvlJc w:val="left"/>
      <w:pPr>
        <w:ind w:left="141" w:hanging="380"/>
      </w:pPr>
      <w:rPr>
        <w:rFonts w:ascii="Times New Roman" w:eastAsia="Times New Roman" w:hAnsi="Times New Roman" w:cs="Times New Roman" w:hint="default"/>
        <w:w w:val="100"/>
        <w:sz w:val="22"/>
        <w:szCs w:val="22"/>
      </w:rPr>
    </w:lvl>
    <w:lvl w:ilvl="3" w:tplc="B9104780">
      <w:numFmt w:val="bullet"/>
      <w:lvlText w:val="•"/>
      <w:lvlJc w:val="left"/>
      <w:pPr>
        <w:ind w:left="276" w:hanging="380"/>
      </w:pPr>
      <w:rPr>
        <w:rFonts w:hint="default"/>
      </w:rPr>
    </w:lvl>
    <w:lvl w:ilvl="4" w:tplc="89FCFDAE">
      <w:numFmt w:val="bullet"/>
      <w:lvlText w:val="•"/>
      <w:lvlJc w:val="left"/>
      <w:pPr>
        <w:ind w:left="154" w:hanging="380"/>
      </w:pPr>
      <w:rPr>
        <w:rFonts w:hint="default"/>
      </w:rPr>
    </w:lvl>
    <w:lvl w:ilvl="5" w:tplc="9E1AB9C4">
      <w:numFmt w:val="bullet"/>
      <w:lvlText w:val="•"/>
      <w:lvlJc w:val="left"/>
      <w:pPr>
        <w:ind w:left="32" w:hanging="380"/>
      </w:pPr>
      <w:rPr>
        <w:rFonts w:hint="default"/>
      </w:rPr>
    </w:lvl>
    <w:lvl w:ilvl="6" w:tplc="06FE999A">
      <w:numFmt w:val="bullet"/>
      <w:lvlText w:val="•"/>
      <w:lvlJc w:val="left"/>
      <w:pPr>
        <w:ind w:left="-89" w:hanging="380"/>
      </w:pPr>
      <w:rPr>
        <w:rFonts w:hint="default"/>
      </w:rPr>
    </w:lvl>
    <w:lvl w:ilvl="7" w:tplc="480C8162">
      <w:numFmt w:val="bullet"/>
      <w:lvlText w:val="•"/>
      <w:lvlJc w:val="left"/>
      <w:pPr>
        <w:ind w:left="-211" w:hanging="380"/>
      </w:pPr>
      <w:rPr>
        <w:rFonts w:hint="default"/>
      </w:rPr>
    </w:lvl>
    <w:lvl w:ilvl="8" w:tplc="1B584406">
      <w:numFmt w:val="bullet"/>
      <w:lvlText w:val="•"/>
      <w:lvlJc w:val="left"/>
      <w:pPr>
        <w:ind w:left="-333" w:hanging="380"/>
      </w:pPr>
      <w:rPr>
        <w:rFonts w:hint="default"/>
      </w:rPr>
    </w:lvl>
  </w:abstractNum>
  <w:abstractNum w:abstractNumId="6">
    <w:nsid w:val="15BF643B"/>
    <w:multiLevelType w:val="hybridMultilevel"/>
    <w:tmpl w:val="4594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A7F76"/>
    <w:multiLevelType w:val="multilevel"/>
    <w:tmpl w:val="3A88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16983"/>
    <w:multiLevelType w:val="multilevel"/>
    <w:tmpl w:val="4E28BDFA"/>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78455C"/>
    <w:multiLevelType w:val="multilevel"/>
    <w:tmpl w:val="54F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A166E0"/>
    <w:multiLevelType w:val="hybridMultilevel"/>
    <w:tmpl w:val="A9BE4834"/>
    <w:lvl w:ilvl="0" w:tplc="2848DF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200F8D"/>
    <w:multiLevelType w:val="hybridMultilevel"/>
    <w:tmpl w:val="9ABA6056"/>
    <w:lvl w:ilvl="0" w:tplc="207A2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430776C"/>
    <w:multiLevelType w:val="multilevel"/>
    <w:tmpl w:val="7AE4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D40DAC"/>
    <w:multiLevelType w:val="multilevel"/>
    <w:tmpl w:val="FDE49B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360"/>
        </w:tabs>
        <w:ind w:left="360" w:hanging="540"/>
      </w:pPr>
      <w:rPr>
        <w:rFonts w:hint="default"/>
      </w:rPr>
    </w:lvl>
    <w:lvl w:ilvl="2">
      <w:start w:val="2"/>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4">
    <w:nsid w:val="2BAC1FCD"/>
    <w:multiLevelType w:val="multilevel"/>
    <w:tmpl w:val="808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05E45"/>
    <w:multiLevelType w:val="multilevel"/>
    <w:tmpl w:val="A19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DD6DE7"/>
    <w:multiLevelType w:val="hybridMultilevel"/>
    <w:tmpl w:val="549A27A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623B1"/>
    <w:multiLevelType w:val="multilevel"/>
    <w:tmpl w:val="F4C007F4"/>
    <w:lvl w:ilvl="0">
      <w:start w:val="2"/>
      <w:numFmt w:val="decimal"/>
      <w:lvlText w:val="%1"/>
      <w:lvlJc w:val="left"/>
      <w:pPr>
        <w:tabs>
          <w:tab w:val="num" w:pos="525"/>
        </w:tabs>
        <w:ind w:left="525" w:hanging="525"/>
      </w:pPr>
      <w:rPr>
        <w:rFonts w:hint="default"/>
        <w:b/>
        <w:i/>
      </w:rPr>
    </w:lvl>
    <w:lvl w:ilvl="1">
      <w:start w:val="1"/>
      <w:numFmt w:val="decimal"/>
      <w:lvlText w:val="%1.%2"/>
      <w:lvlJc w:val="left"/>
      <w:pPr>
        <w:tabs>
          <w:tab w:val="num" w:pos="525"/>
        </w:tabs>
        <w:ind w:left="525" w:hanging="525"/>
      </w:pPr>
      <w:rPr>
        <w:rFonts w:hint="default"/>
        <w:b/>
        <w:i/>
      </w:rPr>
    </w:lvl>
    <w:lvl w:ilvl="2">
      <w:start w:val="2"/>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8">
    <w:nsid w:val="3A0B7271"/>
    <w:multiLevelType w:val="hybridMultilevel"/>
    <w:tmpl w:val="9E9C47CC"/>
    <w:lvl w:ilvl="0" w:tplc="D9A2DCBC">
      <w:start w:val="2"/>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25C95"/>
    <w:multiLevelType w:val="multilevel"/>
    <w:tmpl w:val="F14E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A7277"/>
    <w:multiLevelType w:val="multilevel"/>
    <w:tmpl w:val="055E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51396"/>
    <w:multiLevelType w:val="hybridMultilevel"/>
    <w:tmpl w:val="611CCFEA"/>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ED2B03"/>
    <w:multiLevelType w:val="multilevel"/>
    <w:tmpl w:val="BED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CA665F"/>
    <w:multiLevelType w:val="multilevel"/>
    <w:tmpl w:val="F36C0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6F68C5"/>
    <w:multiLevelType w:val="multilevel"/>
    <w:tmpl w:val="00DAFB84"/>
    <w:lvl w:ilvl="0">
      <w:start w:val="1"/>
      <w:numFmt w:val="decimal"/>
      <w:lvlText w:val="%1."/>
      <w:lvlJc w:val="left"/>
      <w:pPr>
        <w:ind w:left="360" w:hanging="360"/>
      </w:pPr>
      <w:rPr>
        <w:rFonts w:hint="default"/>
      </w:rPr>
    </w:lvl>
    <w:lvl w:ilvl="1">
      <w:start w:val="1"/>
      <w:numFmt w:val="decimal"/>
      <w:lvlText w:val="6.%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1851A38"/>
    <w:multiLevelType w:val="multilevel"/>
    <w:tmpl w:val="28A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56168"/>
    <w:multiLevelType w:val="multilevel"/>
    <w:tmpl w:val="B1A0F06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800"/>
        </w:tabs>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7C4E88"/>
    <w:multiLevelType w:val="hybridMultilevel"/>
    <w:tmpl w:val="E5EE6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226C25"/>
    <w:multiLevelType w:val="multilevel"/>
    <w:tmpl w:val="38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836C05"/>
    <w:multiLevelType w:val="multilevel"/>
    <w:tmpl w:val="A90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52CF5"/>
    <w:multiLevelType w:val="multilevel"/>
    <w:tmpl w:val="DD9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F24908"/>
    <w:multiLevelType w:val="multilevel"/>
    <w:tmpl w:val="F2C060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407513"/>
    <w:multiLevelType w:val="hybridMultilevel"/>
    <w:tmpl w:val="6688D3EA"/>
    <w:lvl w:ilvl="0" w:tplc="DC32EB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6EAE4DE9"/>
    <w:multiLevelType w:val="multilevel"/>
    <w:tmpl w:val="762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E4756D"/>
    <w:multiLevelType w:val="multilevel"/>
    <w:tmpl w:val="045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002E6"/>
    <w:multiLevelType w:val="multilevel"/>
    <w:tmpl w:val="C26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147264"/>
    <w:multiLevelType w:val="hybridMultilevel"/>
    <w:tmpl w:val="876250E2"/>
    <w:lvl w:ilvl="0" w:tplc="DC32EB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nsid w:val="7A740875"/>
    <w:multiLevelType w:val="multilevel"/>
    <w:tmpl w:val="444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051D28"/>
    <w:multiLevelType w:val="multilevel"/>
    <w:tmpl w:val="9B1AA7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1"/>
  </w:num>
  <w:num w:numId="4">
    <w:abstractNumId w:val="21"/>
  </w:num>
  <w:num w:numId="5">
    <w:abstractNumId w:val="18"/>
  </w:num>
  <w:num w:numId="6">
    <w:abstractNumId w:val="38"/>
  </w:num>
  <w:num w:numId="7">
    <w:abstractNumId w:val="9"/>
  </w:num>
  <w:num w:numId="8">
    <w:abstractNumId w:val="22"/>
  </w:num>
  <w:num w:numId="9">
    <w:abstractNumId w:val="12"/>
  </w:num>
  <w:num w:numId="10">
    <w:abstractNumId w:val="15"/>
  </w:num>
  <w:num w:numId="11">
    <w:abstractNumId w:val="7"/>
  </w:num>
  <w:num w:numId="12">
    <w:abstractNumId w:val="37"/>
  </w:num>
  <w:num w:numId="13">
    <w:abstractNumId w:val="10"/>
  </w:num>
  <w:num w:numId="14">
    <w:abstractNumId w:val="11"/>
  </w:num>
  <w:num w:numId="15">
    <w:abstractNumId w:val="6"/>
  </w:num>
  <w:num w:numId="16">
    <w:abstractNumId w:val="0"/>
  </w:num>
  <w:num w:numId="17">
    <w:abstractNumId w:val="5"/>
  </w:num>
  <w:num w:numId="18">
    <w:abstractNumId w:val="33"/>
  </w:num>
  <w:num w:numId="19">
    <w:abstractNumId w:val="20"/>
  </w:num>
  <w:num w:numId="20">
    <w:abstractNumId w:val="26"/>
  </w:num>
  <w:num w:numId="21">
    <w:abstractNumId w:val="35"/>
  </w:num>
  <w:num w:numId="22">
    <w:abstractNumId w:val="13"/>
  </w:num>
  <w:num w:numId="23">
    <w:abstractNumId w:val="34"/>
  </w:num>
  <w:num w:numId="24">
    <w:abstractNumId w:val="14"/>
  </w:num>
  <w:num w:numId="25">
    <w:abstractNumId w:val="25"/>
  </w:num>
  <w:num w:numId="26">
    <w:abstractNumId w:val="28"/>
  </w:num>
  <w:num w:numId="27">
    <w:abstractNumId w:val="29"/>
  </w:num>
  <w:num w:numId="28">
    <w:abstractNumId w:val="30"/>
  </w:num>
  <w:num w:numId="29">
    <w:abstractNumId w:val="19"/>
  </w:num>
  <w:num w:numId="30">
    <w:abstractNumId w:val="3"/>
  </w:num>
  <w:num w:numId="31">
    <w:abstractNumId w:val="4"/>
  </w:num>
  <w:num w:numId="32">
    <w:abstractNumId w:val="16"/>
  </w:num>
  <w:num w:numId="33">
    <w:abstractNumId w:val="2"/>
  </w:num>
  <w:num w:numId="34">
    <w:abstractNumId w:val="1"/>
  </w:num>
  <w:num w:numId="35">
    <w:abstractNumId w:val="27"/>
  </w:num>
  <w:num w:numId="36">
    <w:abstractNumId w:val="36"/>
  </w:num>
  <w:num w:numId="37">
    <w:abstractNumId w:val="32"/>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A3"/>
    <w:rsid w:val="00097A0C"/>
    <w:rsid w:val="000E4F71"/>
    <w:rsid w:val="0012339A"/>
    <w:rsid w:val="00167251"/>
    <w:rsid w:val="00180E06"/>
    <w:rsid w:val="00184B14"/>
    <w:rsid w:val="001C7F1B"/>
    <w:rsid w:val="001D5B4F"/>
    <w:rsid w:val="001F19C5"/>
    <w:rsid w:val="00372B02"/>
    <w:rsid w:val="003D35A5"/>
    <w:rsid w:val="00400B2B"/>
    <w:rsid w:val="00417E58"/>
    <w:rsid w:val="004222A3"/>
    <w:rsid w:val="004837C8"/>
    <w:rsid w:val="004B66B5"/>
    <w:rsid w:val="004F427D"/>
    <w:rsid w:val="0053026D"/>
    <w:rsid w:val="00531B2C"/>
    <w:rsid w:val="0053480A"/>
    <w:rsid w:val="005565A4"/>
    <w:rsid w:val="00562C8D"/>
    <w:rsid w:val="00596D65"/>
    <w:rsid w:val="005F5474"/>
    <w:rsid w:val="00603907"/>
    <w:rsid w:val="00621F4E"/>
    <w:rsid w:val="00623856"/>
    <w:rsid w:val="0064712F"/>
    <w:rsid w:val="006A2D05"/>
    <w:rsid w:val="006B670E"/>
    <w:rsid w:val="00722FF6"/>
    <w:rsid w:val="00734C3A"/>
    <w:rsid w:val="0079166B"/>
    <w:rsid w:val="007E55EF"/>
    <w:rsid w:val="007F7AF9"/>
    <w:rsid w:val="00804363"/>
    <w:rsid w:val="00833F8F"/>
    <w:rsid w:val="008440FC"/>
    <w:rsid w:val="008639CD"/>
    <w:rsid w:val="00882250"/>
    <w:rsid w:val="008842E1"/>
    <w:rsid w:val="00944246"/>
    <w:rsid w:val="00972876"/>
    <w:rsid w:val="009858BD"/>
    <w:rsid w:val="00A36157"/>
    <w:rsid w:val="00A62242"/>
    <w:rsid w:val="00A673CA"/>
    <w:rsid w:val="00AB6503"/>
    <w:rsid w:val="00AC1527"/>
    <w:rsid w:val="00AD40C0"/>
    <w:rsid w:val="00AD53DE"/>
    <w:rsid w:val="00AD7718"/>
    <w:rsid w:val="00AE26B2"/>
    <w:rsid w:val="00B16E4E"/>
    <w:rsid w:val="00B2648B"/>
    <w:rsid w:val="00B35E58"/>
    <w:rsid w:val="00B766D9"/>
    <w:rsid w:val="00B846A5"/>
    <w:rsid w:val="00B910CB"/>
    <w:rsid w:val="00B93296"/>
    <w:rsid w:val="00BA43E3"/>
    <w:rsid w:val="00BC0690"/>
    <w:rsid w:val="00BC52FC"/>
    <w:rsid w:val="00BD388E"/>
    <w:rsid w:val="00BF0DAB"/>
    <w:rsid w:val="00C40A02"/>
    <w:rsid w:val="00CA31DA"/>
    <w:rsid w:val="00CD3953"/>
    <w:rsid w:val="00D367BF"/>
    <w:rsid w:val="00D66299"/>
    <w:rsid w:val="00D73E1B"/>
    <w:rsid w:val="00D81D72"/>
    <w:rsid w:val="00DB0C7B"/>
    <w:rsid w:val="00DB1F9C"/>
    <w:rsid w:val="00DE3B9E"/>
    <w:rsid w:val="00E10557"/>
    <w:rsid w:val="00E63084"/>
    <w:rsid w:val="00EF3F3E"/>
    <w:rsid w:val="00F7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FD00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3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uiPriority w:val="99"/>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34"/>
    <w:qFormat/>
    <w:rsid w:val="007E55EF"/>
    <w:pPr>
      <w:widowControl w:val="0"/>
      <w:spacing w:before="47"/>
      <w:ind w:left="141" w:firstLine="341"/>
      <w:jc w:val="both"/>
    </w:pPr>
    <w:rPr>
      <w:sz w:val="22"/>
      <w:szCs w:val="22"/>
    </w:rPr>
  </w:style>
  <w:style w:type="paragraph" w:customStyle="1" w:styleId="para">
    <w:name w:val="para"/>
    <w:basedOn w:val="Normal"/>
    <w:rsid w:val="00BF0DAB"/>
    <w:pPr>
      <w:spacing w:before="100" w:beforeAutospacing="1" w:after="100" w:afterAutospacing="1"/>
    </w:pPr>
  </w:style>
  <w:style w:type="character" w:customStyle="1" w:styleId="a21">
    <w:name w:val="a21"/>
    <w:basedOn w:val="DefaultParagraphFont"/>
    <w:rsid w:val="00BF0DAB"/>
  </w:style>
  <w:style w:type="paragraph" w:customStyle="1" w:styleId="body-text">
    <w:name w:val="body-text"/>
    <w:basedOn w:val="Normal"/>
    <w:rsid w:val="00BF0DAB"/>
    <w:pPr>
      <w:spacing w:before="100" w:beforeAutospacing="1" w:after="100" w:afterAutospacing="1"/>
    </w:pPr>
  </w:style>
  <w:style w:type="table" w:styleId="TableGrid">
    <w:name w:val="Table Grid"/>
    <w:basedOn w:val="TableNormal"/>
    <w:uiPriority w:val="39"/>
    <w:rsid w:val="00BF0D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73CA"/>
    <w:rPr>
      <w:rFonts w:ascii="Lucida Grande" w:hAnsi="Lucida Grande" w:cs="Lucida Grande"/>
      <w:sz w:val="18"/>
      <w:szCs w:val="18"/>
    </w:rPr>
  </w:style>
  <w:style w:type="character" w:customStyle="1" w:styleId="BalloonTextChar">
    <w:name w:val="Balloon Text Char"/>
    <w:basedOn w:val="DefaultParagraphFont"/>
    <w:link w:val="BalloonText"/>
    <w:rsid w:val="00A673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3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uiPriority w:val="99"/>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34"/>
    <w:qFormat/>
    <w:rsid w:val="007E55EF"/>
    <w:pPr>
      <w:widowControl w:val="0"/>
      <w:spacing w:before="47"/>
      <w:ind w:left="141" w:firstLine="341"/>
      <w:jc w:val="both"/>
    </w:pPr>
    <w:rPr>
      <w:sz w:val="22"/>
      <w:szCs w:val="22"/>
    </w:rPr>
  </w:style>
  <w:style w:type="paragraph" w:customStyle="1" w:styleId="para">
    <w:name w:val="para"/>
    <w:basedOn w:val="Normal"/>
    <w:rsid w:val="00BF0DAB"/>
    <w:pPr>
      <w:spacing w:before="100" w:beforeAutospacing="1" w:after="100" w:afterAutospacing="1"/>
    </w:pPr>
  </w:style>
  <w:style w:type="character" w:customStyle="1" w:styleId="a21">
    <w:name w:val="a21"/>
    <w:basedOn w:val="DefaultParagraphFont"/>
    <w:rsid w:val="00BF0DAB"/>
  </w:style>
  <w:style w:type="paragraph" w:customStyle="1" w:styleId="body-text">
    <w:name w:val="body-text"/>
    <w:basedOn w:val="Normal"/>
    <w:rsid w:val="00BF0DAB"/>
    <w:pPr>
      <w:spacing w:before="100" w:beforeAutospacing="1" w:after="100" w:afterAutospacing="1"/>
    </w:pPr>
  </w:style>
  <w:style w:type="table" w:styleId="TableGrid">
    <w:name w:val="Table Grid"/>
    <w:basedOn w:val="TableNormal"/>
    <w:uiPriority w:val="39"/>
    <w:rsid w:val="00BF0D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73CA"/>
    <w:rPr>
      <w:rFonts w:ascii="Lucida Grande" w:hAnsi="Lucida Grande" w:cs="Lucida Grande"/>
      <w:sz w:val="18"/>
      <w:szCs w:val="18"/>
    </w:rPr>
  </w:style>
  <w:style w:type="character" w:customStyle="1" w:styleId="BalloonTextChar">
    <w:name w:val="Balloon Text Char"/>
    <w:basedOn w:val="DefaultParagraphFont"/>
    <w:link w:val="BalloonText"/>
    <w:rsid w:val="00A673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8370">
      <w:bodyDiv w:val="1"/>
      <w:marLeft w:val="0"/>
      <w:marRight w:val="0"/>
      <w:marTop w:val="0"/>
      <w:marBottom w:val="0"/>
      <w:divBdr>
        <w:top w:val="none" w:sz="0" w:space="0" w:color="auto"/>
        <w:left w:val="none" w:sz="0" w:space="0" w:color="auto"/>
        <w:bottom w:val="none" w:sz="0" w:space="0" w:color="auto"/>
        <w:right w:val="none" w:sz="0" w:space="0" w:color="auto"/>
      </w:divBdr>
    </w:div>
    <w:div w:id="138575387">
      <w:bodyDiv w:val="1"/>
      <w:marLeft w:val="0"/>
      <w:marRight w:val="0"/>
      <w:marTop w:val="0"/>
      <w:marBottom w:val="0"/>
      <w:divBdr>
        <w:top w:val="none" w:sz="0" w:space="0" w:color="auto"/>
        <w:left w:val="none" w:sz="0" w:space="0" w:color="auto"/>
        <w:bottom w:val="none" w:sz="0" w:space="0" w:color="auto"/>
        <w:right w:val="none" w:sz="0" w:space="0" w:color="auto"/>
      </w:divBdr>
    </w:div>
    <w:div w:id="139227450">
      <w:bodyDiv w:val="1"/>
      <w:marLeft w:val="0"/>
      <w:marRight w:val="0"/>
      <w:marTop w:val="0"/>
      <w:marBottom w:val="0"/>
      <w:divBdr>
        <w:top w:val="none" w:sz="0" w:space="0" w:color="auto"/>
        <w:left w:val="none" w:sz="0" w:space="0" w:color="auto"/>
        <w:bottom w:val="none" w:sz="0" w:space="0" w:color="auto"/>
        <w:right w:val="none" w:sz="0" w:space="0" w:color="auto"/>
      </w:divBdr>
      <w:divsChild>
        <w:div w:id="415056857">
          <w:marLeft w:val="0"/>
          <w:marRight w:val="0"/>
          <w:marTop w:val="0"/>
          <w:marBottom w:val="0"/>
          <w:divBdr>
            <w:top w:val="none" w:sz="0" w:space="0" w:color="auto"/>
            <w:left w:val="none" w:sz="0" w:space="0" w:color="auto"/>
            <w:bottom w:val="none" w:sz="0" w:space="0" w:color="auto"/>
            <w:right w:val="none" w:sz="0" w:space="0" w:color="auto"/>
          </w:divBdr>
          <w:divsChild>
            <w:div w:id="1291979087">
              <w:marLeft w:val="0"/>
              <w:marRight w:val="0"/>
              <w:marTop w:val="0"/>
              <w:marBottom w:val="0"/>
              <w:divBdr>
                <w:top w:val="none" w:sz="0" w:space="0" w:color="auto"/>
                <w:left w:val="none" w:sz="0" w:space="0" w:color="auto"/>
                <w:bottom w:val="none" w:sz="0" w:space="0" w:color="auto"/>
                <w:right w:val="none" w:sz="0" w:space="0" w:color="auto"/>
              </w:divBdr>
              <w:divsChild>
                <w:div w:id="1436706445">
                  <w:marLeft w:val="0"/>
                  <w:marRight w:val="0"/>
                  <w:marTop w:val="0"/>
                  <w:marBottom w:val="0"/>
                  <w:divBdr>
                    <w:top w:val="none" w:sz="0" w:space="0" w:color="auto"/>
                    <w:left w:val="none" w:sz="0" w:space="0" w:color="auto"/>
                    <w:bottom w:val="none" w:sz="0" w:space="0" w:color="auto"/>
                    <w:right w:val="none" w:sz="0" w:space="0" w:color="auto"/>
                  </w:divBdr>
                  <w:divsChild>
                    <w:div w:id="1361734696">
                      <w:marLeft w:val="0"/>
                      <w:marRight w:val="0"/>
                      <w:marTop w:val="0"/>
                      <w:marBottom w:val="0"/>
                      <w:divBdr>
                        <w:top w:val="none" w:sz="0" w:space="0" w:color="auto"/>
                        <w:left w:val="none" w:sz="0" w:space="0" w:color="auto"/>
                        <w:bottom w:val="none" w:sz="0" w:space="0" w:color="auto"/>
                        <w:right w:val="none" w:sz="0" w:space="0" w:color="auto"/>
                      </w:divBdr>
                      <w:divsChild>
                        <w:div w:id="856506905">
                          <w:marLeft w:val="0"/>
                          <w:marRight w:val="0"/>
                          <w:marTop w:val="0"/>
                          <w:marBottom w:val="0"/>
                          <w:divBdr>
                            <w:top w:val="none" w:sz="0" w:space="0" w:color="auto"/>
                            <w:left w:val="none" w:sz="0" w:space="0" w:color="auto"/>
                            <w:bottom w:val="none" w:sz="0" w:space="0" w:color="auto"/>
                            <w:right w:val="none" w:sz="0" w:space="0" w:color="auto"/>
                          </w:divBdr>
                          <w:divsChild>
                            <w:div w:id="1902397837">
                              <w:marLeft w:val="0"/>
                              <w:marRight w:val="0"/>
                              <w:marTop w:val="0"/>
                              <w:marBottom w:val="0"/>
                              <w:divBdr>
                                <w:top w:val="none" w:sz="0" w:space="0" w:color="auto"/>
                                <w:left w:val="none" w:sz="0" w:space="0" w:color="auto"/>
                                <w:bottom w:val="none" w:sz="0" w:space="0" w:color="auto"/>
                                <w:right w:val="none" w:sz="0" w:space="0" w:color="auto"/>
                              </w:divBdr>
                              <w:divsChild>
                                <w:div w:id="233512264">
                                  <w:marLeft w:val="0"/>
                                  <w:marRight w:val="0"/>
                                  <w:marTop w:val="0"/>
                                  <w:marBottom w:val="0"/>
                                  <w:divBdr>
                                    <w:top w:val="none" w:sz="0" w:space="0" w:color="auto"/>
                                    <w:left w:val="none" w:sz="0" w:space="0" w:color="auto"/>
                                    <w:bottom w:val="none" w:sz="0" w:space="0" w:color="auto"/>
                                    <w:right w:val="none" w:sz="0" w:space="0" w:color="auto"/>
                                  </w:divBdr>
                                  <w:divsChild>
                                    <w:div w:id="350840529">
                                      <w:marLeft w:val="0"/>
                                      <w:marRight w:val="0"/>
                                      <w:marTop w:val="0"/>
                                      <w:marBottom w:val="0"/>
                                      <w:divBdr>
                                        <w:top w:val="none" w:sz="0" w:space="0" w:color="auto"/>
                                        <w:left w:val="none" w:sz="0" w:space="0" w:color="auto"/>
                                        <w:bottom w:val="none" w:sz="0" w:space="0" w:color="auto"/>
                                        <w:right w:val="none" w:sz="0" w:space="0" w:color="auto"/>
                                      </w:divBdr>
                                      <w:divsChild>
                                        <w:div w:id="16842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096908">
      <w:bodyDiv w:val="1"/>
      <w:marLeft w:val="0"/>
      <w:marRight w:val="0"/>
      <w:marTop w:val="0"/>
      <w:marBottom w:val="0"/>
      <w:divBdr>
        <w:top w:val="none" w:sz="0" w:space="0" w:color="auto"/>
        <w:left w:val="none" w:sz="0" w:space="0" w:color="auto"/>
        <w:bottom w:val="none" w:sz="0" w:space="0" w:color="auto"/>
        <w:right w:val="none" w:sz="0" w:space="0" w:color="auto"/>
      </w:divBdr>
    </w:div>
    <w:div w:id="260139670">
      <w:bodyDiv w:val="1"/>
      <w:marLeft w:val="0"/>
      <w:marRight w:val="0"/>
      <w:marTop w:val="0"/>
      <w:marBottom w:val="0"/>
      <w:divBdr>
        <w:top w:val="none" w:sz="0" w:space="0" w:color="auto"/>
        <w:left w:val="none" w:sz="0" w:space="0" w:color="auto"/>
        <w:bottom w:val="none" w:sz="0" w:space="0" w:color="auto"/>
        <w:right w:val="none" w:sz="0" w:space="0" w:color="auto"/>
      </w:divBdr>
    </w:div>
    <w:div w:id="440804054">
      <w:bodyDiv w:val="1"/>
      <w:marLeft w:val="0"/>
      <w:marRight w:val="0"/>
      <w:marTop w:val="0"/>
      <w:marBottom w:val="0"/>
      <w:divBdr>
        <w:top w:val="none" w:sz="0" w:space="0" w:color="auto"/>
        <w:left w:val="none" w:sz="0" w:space="0" w:color="auto"/>
        <w:bottom w:val="none" w:sz="0" w:space="0" w:color="auto"/>
        <w:right w:val="none" w:sz="0" w:space="0" w:color="auto"/>
      </w:divBdr>
    </w:div>
    <w:div w:id="848175782">
      <w:bodyDiv w:val="1"/>
      <w:marLeft w:val="0"/>
      <w:marRight w:val="0"/>
      <w:marTop w:val="0"/>
      <w:marBottom w:val="0"/>
      <w:divBdr>
        <w:top w:val="none" w:sz="0" w:space="0" w:color="auto"/>
        <w:left w:val="none" w:sz="0" w:space="0" w:color="auto"/>
        <w:bottom w:val="none" w:sz="0" w:space="0" w:color="auto"/>
        <w:right w:val="none" w:sz="0" w:space="0" w:color="auto"/>
      </w:divBdr>
    </w:div>
    <w:div w:id="978220114">
      <w:bodyDiv w:val="1"/>
      <w:marLeft w:val="0"/>
      <w:marRight w:val="0"/>
      <w:marTop w:val="0"/>
      <w:marBottom w:val="0"/>
      <w:divBdr>
        <w:top w:val="none" w:sz="0" w:space="0" w:color="auto"/>
        <w:left w:val="none" w:sz="0" w:space="0" w:color="auto"/>
        <w:bottom w:val="none" w:sz="0" w:space="0" w:color="auto"/>
        <w:right w:val="none" w:sz="0" w:space="0" w:color="auto"/>
      </w:divBdr>
    </w:div>
    <w:div w:id="1014917083">
      <w:bodyDiv w:val="1"/>
      <w:marLeft w:val="0"/>
      <w:marRight w:val="0"/>
      <w:marTop w:val="0"/>
      <w:marBottom w:val="0"/>
      <w:divBdr>
        <w:top w:val="none" w:sz="0" w:space="0" w:color="auto"/>
        <w:left w:val="none" w:sz="0" w:space="0" w:color="auto"/>
        <w:bottom w:val="none" w:sz="0" w:space="0" w:color="auto"/>
        <w:right w:val="none" w:sz="0" w:space="0" w:color="auto"/>
      </w:divBdr>
    </w:div>
    <w:div w:id="1213732569">
      <w:bodyDiv w:val="1"/>
      <w:marLeft w:val="0"/>
      <w:marRight w:val="0"/>
      <w:marTop w:val="0"/>
      <w:marBottom w:val="0"/>
      <w:divBdr>
        <w:top w:val="none" w:sz="0" w:space="0" w:color="auto"/>
        <w:left w:val="none" w:sz="0" w:space="0" w:color="auto"/>
        <w:bottom w:val="none" w:sz="0" w:space="0" w:color="auto"/>
        <w:right w:val="none" w:sz="0" w:space="0" w:color="auto"/>
      </w:divBdr>
      <w:divsChild>
        <w:div w:id="1951743839">
          <w:marLeft w:val="0"/>
          <w:marRight w:val="0"/>
          <w:marTop w:val="0"/>
          <w:marBottom w:val="0"/>
          <w:divBdr>
            <w:top w:val="none" w:sz="0" w:space="0" w:color="auto"/>
            <w:left w:val="none" w:sz="0" w:space="0" w:color="auto"/>
            <w:bottom w:val="none" w:sz="0" w:space="0" w:color="auto"/>
            <w:right w:val="none" w:sz="0" w:space="0" w:color="auto"/>
          </w:divBdr>
          <w:divsChild>
            <w:div w:id="1094547764">
              <w:marLeft w:val="0"/>
              <w:marRight w:val="0"/>
              <w:marTop w:val="0"/>
              <w:marBottom w:val="0"/>
              <w:divBdr>
                <w:top w:val="none" w:sz="0" w:space="0" w:color="auto"/>
                <w:left w:val="none" w:sz="0" w:space="0" w:color="auto"/>
                <w:bottom w:val="none" w:sz="0" w:space="0" w:color="auto"/>
                <w:right w:val="none" w:sz="0" w:space="0" w:color="auto"/>
              </w:divBdr>
              <w:divsChild>
                <w:div w:id="20907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5318">
      <w:bodyDiv w:val="1"/>
      <w:marLeft w:val="0"/>
      <w:marRight w:val="0"/>
      <w:marTop w:val="0"/>
      <w:marBottom w:val="0"/>
      <w:divBdr>
        <w:top w:val="none" w:sz="0" w:space="0" w:color="auto"/>
        <w:left w:val="none" w:sz="0" w:space="0" w:color="auto"/>
        <w:bottom w:val="none" w:sz="0" w:space="0" w:color="auto"/>
        <w:right w:val="none" w:sz="0" w:space="0" w:color="auto"/>
      </w:divBdr>
      <w:divsChild>
        <w:div w:id="504824871">
          <w:marLeft w:val="0"/>
          <w:marRight w:val="0"/>
          <w:marTop w:val="0"/>
          <w:marBottom w:val="0"/>
          <w:divBdr>
            <w:top w:val="none" w:sz="0" w:space="0" w:color="auto"/>
            <w:left w:val="none" w:sz="0" w:space="0" w:color="auto"/>
            <w:bottom w:val="none" w:sz="0" w:space="0" w:color="auto"/>
            <w:right w:val="none" w:sz="0" w:space="0" w:color="auto"/>
          </w:divBdr>
        </w:div>
      </w:divsChild>
    </w:div>
    <w:div w:id="1422677712">
      <w:bodyDiv w:val="1"/>
      <w:marLeft w:val="0"/>
      <w:marRight w:val="0"/>
      <w:marTop w:val="0"/>
      <w:marBottom w:val="0"/>
      <w:divBdr>
        <w:top w:val="none" w:sz="0" w:space="0" w:color="auto"/>
        <w:left w:val="none" w:sz="0" w:space="0" w:color="auto"/>
        <w:bottom w:val="none" w:sz="0" w:space="0" w:color="auto"/>
        <w:right w:val="none" w:sz="0" w:space="0" w:color="auto"/>
      </w:divBdr>
    </w:div>
    <w:div w:id="1671982143">
      <w:bodyDiv w:val="1"/>
      <w:marLeft w:val="0"/>
      <w:marRight w:val="0"/>
      <w:marTop w:val="0"/>
      <w:marBottom w:val="0"/>
      <w:divBdr>
        <w:top w:val="none" w:sz="0" w:space="0" w:color="auto"/>
        <w:left w:val="none" w:sz="0" w:space="0" w:color="auto"/>
        <w:bottom w:val="none" w:sz="0" w:space="0" w:color="auto"/>
        <w:right w:val="none" w:sz="0" w:space="0" w:color="auto"/>
      </w:divBdr>
    </w:div>
    <w:div w:id="1678579877">
      <w:bodyDiv w:val="1"/>
      <w:marLeft w:val="0"/>
      <w:marRight w:val="0"/>
      <w:marTop w:val="0"/>
      <w:marBottom w:val="0"/>
      <w:divBdr>
        <w:top w:val="none" w:sz="0" w:space="0" w:color="auto"/>
        <w:left w:val="none" w:sz="0" w:space="0" w:color="auto"/>
        <w:bottom w:val="none" w:sz="0" w:space="0" w:color="auto"/>
        <w:right w:val="none" w:sz="0" w:space="0" w:color="auto"/>
      </w:divBdr>
    </w:div>
    <w:div w:id="1739129536">
      <w:bodyDiv w:val="1"/>
      <w:marLeft w:val="0"/>
      <w:marRight w:val="0"/>
      <w:marTop w:val="0"/>
      <w:marBottom w:val="0"/>
      <w:divBdr>
        <w:top w:val="none" w:sz="0" w:space="0" w:color="auto"/>
        <w:left w:val="none" w:sz="0" w:space="0" w:color="auto"/>
        <w:bottom w:val="none" w:sz="0" w:space="0" w:color="auto"/>
        <w:right w:val="none" w:sz="0" w:space="0" w:color="auto"/>
      </w:divBdr>
    </w:div>
    <w:div w:id="17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2615406">
          <w:marLeft w:val="0"/>
          <w:marRight w:val="0"/>
          <w:marTop w:val="0"/>
          <w:marBottom w:val="225"/>
          <w:divBdr>
            <w:top w:val="none" w:sz="0" w:space="0" w:color="auto"/>
            <w:left w:val="none" w:sz="0" w:space="0" w:color="auto"/>
            <w:bottom w:val="none" w:sz="0" w:space="0" w:color="auto"/>
            <w:right w:val="none" w:sz="0" w:space="0" w:color="auto"/>
          </w:divBdr>
        </w:div>
        <w:div w:id="289289896">
          <w:marLeft w:val="0"/>
          <w:marRight w:val="0"/>
          <w:marTop w:val="0"/>
          <w:marBottom w:val="225"/>
          <w:divBdr>
            <w:top w:val="none" w:sz="0" w:space="0" w:color="auto"/>
            <w:left w:val="none" w:sz="0" w:space="0" w:color="auto"/>
            <w:bottom w:val="none" w:sz="0" w:space="0" w:color="auto"/>
            <w:right w:val="none" w:sz="0" w:space="0" w:color="auto"/>
          </w:divBdr>
        </w:div>
      </w:divsChild>
    </w:div>
    <w:div w:id="1963421126">
      <w:bodyDiv w:val="1"/>
      <w:marLeft w:val="0"/>
      <w:marRight w:val="0"/>
      <w:marTop w:val="0"/>
      <w:marBottom w:val="0"/>
      <w:divBdr>
        <w:top w:val="none" w:sz="0" w:space="0" w:color="auto"/>
        <w:left w:val="none" w:sz="0" w:space="0" w:color="auto"/>
        <w:bottom w:val="none" w:sz="0" w:space="0" w:color="auto"/>
        <w:right w:val="none" w:sz="0" w:space="0" w:color="auto"/>
      </w:divBdr>
    </w:div>
    <w:div w:id="2067220783">
      <w:bodyDiv w:val="1"/>
      <w:marLeft w:val="0"/>
      <w:marRight w:val="0"/>
      <w:marTop w:val="0"/>
      <w:marBottom w:val="0"/>
      <w:divBdr>
        <w:top w:val="none" w:sz="0" w:space="0" w:color="auto"/>
        <w:left w:val="none" w:sz="0" w:space="0" w:color="auto"/>
        <w:bottom w:val="none" w:sz="0" w:space="0" w:color="auto"/>
        <w:right w:val="none" w:sz="0" w:space="0" w:color="auto"/>
      </w:divBdr>
      <w:divsChild>
        <w:div w:id="1375273587">
          <w:marLeft w:val="0"/>
          <w:marRight w:val="0"/>
          <w:marTop w:val="0"/>
          <w:marBottom w:val="0"/>
          <w:divBdr>
            <w:top w:val="none" w:sz="0" w:space="0" w:color="auto"/>
            <w:left w:val="none" w:sz="0" w:space="0" w:color="auto"/>
            <w:bottom w:val="none" w:sz="0" w:space="0" w:color="auto"/>
            <w:right w:val="none" w:sz="0" w:space="0" w:color="auto"/>
          </w:divBdr>
        </w:div>
        <w:div w:id="1405643128">
          <w:marLeft w:val="0"/>
          <w:marRight w:val="0"/>
          <w:marTop w:val="0"/>
          <w:marBottom w:val="0"/>
          <w:divBdr>
            <w:top w:val="none" w:sz="0" w:space="0" w:color="auto"/>
            <w:left w:val="none" w:sz="0" w:space="0" w:color="auto"/>
            <w:bottom w:val="none" w:sz="0" w:space="0" w:color="auto"/>
            <w:right w:val="none" w:sz="0" w:space="0" w:color="auto"/>
          </w:divBdr>
        </w:div>
      </w:divsChild>
    </w:div>
    <w:div w:id="2069760515">
      <w:bodyDiv w:val="1"/>
      <w:marLeft w:val="0"/>
      <w:marRight w:val="0"/>
      <w:marTop w:val="0"/>
      <w:marBottom w:val="0"/>
      <w:divBdr>
        <w:top w:val="none" w:sz="0" w:space="0" w:color="auto"/>
        <w:left w:val="none" w:sz="0" w:space="0" w:color="auto"/>
        <w:bottom w:val="none" w:sz="0" w:space="0" w:color="auto"/>
        <w:right w:val="none" w:sz="0" w:space="0" w:color="auto"/>
      </w:divBdr>
    </w:div>
    <w:div w:id="2078896590">
      <w:bodyDiv w:val="1"/>
      <w:marLeft w:val="0"/>
      <w:marRight w:val="0"/>
      <w:marTop w:val="0"/>
      <w:marBottom w:val="0"/>
      <w:divBdr>
        <w:top w:val="none" w:sz="0" w:space="0" w:color="auto"/>
        <w:left w:val="none" w:sz="0" w:space="0" w:color="auto"/>
        <w:bottom w:val="none" w:sz="0" w:space="0" w:color="auto"/>
        <w:right w:val="none" w:sz="0" w:space="0" w:color="auto"/>
      </w:divBdr>
      <w:divsChild>
        <w:div w:id="1015766543">
          <w:marLeft w:val="0"/>
          <w:marRight w:val="0"/>
          <w:marTop w:val="150"/>
          <w:marBottom w:val="150"/>
          <w:divBdr>
            <w:top w:val="none" w:sz="0" w:space="0" w:color="auto"/>
            <w:left w:val="none" w:sz="0" w:space="0" w:color="auto"/>
            <w:bottom w:val="none" w:sz="0" w:space="0" w:color="auto"/>
            <w:right w:val="none" w:sz="0" w:space="0" w:color="auto"/>
          </w:divBdr>
          <w:divsChild>
            <w:div w:id="468131797">
              <w:marLeft w:val="0"/>
              <w:marRight w:val="0"/>
              <w:marTop w:val="0"/>
              <w:marBottom w:val="0"/>
              <w:divBdr>
                <w:top w:val="none" w:sz="0" w:space="0" w:color="auto"/>
                <w:left w:val="none" w:sz="0" w:space="0" w:color="auto"/>
                <w:bottom w:val="none" w:sz="0" w:space="0" w:color="auto"/>
                <w:right w:val="none" w:sz="0" w:space="0" w:color="auto"/>
              </w:divBdr>
            </w:div>
          </w:divsChild>
        </w:div>
        <w:div w:id="1237470904">
          <w:marLeft w:val="0"/>
          <w:marRight w:val="0"/>
          <w:marTop w:val="150"/>
          <w:marBottom w:val="15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
          </w:divsChild>
        </w:div>
        <w:div w:id="1775638196">
          <w:marLeft w:val="0"/>
          <w:marRight w:val="0"/>
          <w:marTop w:val="150"/>
          <w:marBottom w:val="150"/>
          <w:divBdr>
            <w:top w:val="none" w:sz="0" w:space="0" w:color="auto"/>
            <w:left w:val="none" w:sz="0" w:space="0" w:color="auto"/>
            <w:bottom w:val="none" w:sz="0" w:space="0" w:color="auto"/>
            <w:right w:val="none" w:sz="0" w:space="0" w:color="auto"/>
          </w:divBdr>
          <w:divsChild>
            <w:div w:id="50202539">
              <w:marLeft w:val="0"/>
              <w:marRight w:val="0"/>
              <w:marTop w:val="0"/>
              <w:marBottom w:val="0"/>
              <w:divBdr>
                <w:top w:val="none" w:sz="0" w:space="0" w:color="auto"/>
                <w:left w:val="none" w:sz="0" w:space="0" w:color="auto"/>
                <w:bottom w:val="none" w:sz="0" w:space="0" w:color="auto"/>
                <w:right w:val="none" w:sz="0" w:space="0" w:color="auto"/>
              </w:divBdr>
            </w:div>
            <w:div w:id="628780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hyperlink" Target="https://vietstock.vn/2017/10/nhieu-van-de-dat-ra-voi-no-cong-cua-viet-nam-761-564482.htm" TargetMode="External"/><Relationship Id="rId13" Type="http://schemas.openxmlformats.org/officeDocument/2006/relationships/hyperlink" Target="http://baochinhphu.vn/Chinh-sach-moi/Cong-khai-thong-tin-ve-no-cong-va-no-nuoc-ngoai-cua-quoc-gia/324049.vgp"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jpeg"/><Relationship Id="rId1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ED05-9974-F348-AD05-3B7D8C7E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1843</Words>
  <Characters>10506</Characters>
  <Application>Microsoft Macintosh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BÀN VỀ TỶ GIÁ HỐI ĐOÁI CUỐI NĂM 2011</vt:lpstr>
    </vt:vector>
  </TitlesOfParts>
  <Company>&lt;arabianhorse&gt;</Company>
  <LinksUpToDate>false</LinksUpToDate>
  <CharactersWithSpaces>12325</CharactersWithSpaces>
  <SharedDoc>false</SharedDoc>
  <HLinks>
    <vt:vector size="36" baseType="variant">
      <vt:variant>
        <vt:i4>3735665</vt:i4>
      </vt:variant>
      <vt:variant>
        <vt:i4>12</vt:i4>
      </vt:variant>
      <vt:variant>
        <vt:i4>0</vt:i4>
      </vt:variant>
      <vt:variant>
        <vt:i4>5</vt:i4>
      </vt:variant>
      <vt:variant>
        <vt:lpwstr>https://luatduonggia.vn/nghi-dinh-60-2003-nd-cp-huong-dan-thi-hanh-luat-ngan-sach-nha-nuoc</vt:lpwstr>
      </vt:variant>
      <vt:variant>
        <vt:lpwstr/>
      </vt:variant>
      <vt:variant>
        <vt:i4>458792</vt:i4>
      </vt:variant>
      <vt:variant>
        <vt:i4>0</vt:i4>
      </vt:variant>
      <vt:variant>
        <vt:i4>0</vt:i4>
      </vt:variant>
      <vt:variant>
        <vt:i4>5</vt:i4>
      </vt:variant>
      <vt:variant>
        <vt:lpwstr>http://vanban.luatminhkhue.vn/xem-vb/162443/luat-ngan-sach-nha-nuoc-2015.aspx</vt:lpwstr>
      </vt:variant>
      <vt:variant>
        <vt:lpwstr/>
      </vt:variant>
      <vt:variant>
        <vt:i4>1900657</vt:i4>
      </vt:variant>
      <vt:variant>
        <vt:i4>21604</vt:i4>
      </vt:variant>
      <vt:variant>
        <vt:i4>1025</vt:i4>
      </vt:variant>
      <vt:variant>
        <vt:i4>1</vt:i4>
      </vt:variant>
      <vt:variant>
        <vt:lpwstr>photo-0-1500014350667</vt:lpwstr>
      </vt:variant>
      <vt:variant>
        <vt:lpwstr/>
      </vt:variant>
      <vt:variant>
        <vt:i4>1900671</vt:i4>
      </vt:variant>
      <vt:variant>
        <vt:i4>22660</vt:i4>
      </vt:variant>
      <vt:variant>
        <vt:i4>1026</vt:i4>
      </vt:variant>
      <vt:variant>
        <vt:i4>1</vt:i4>
      </vt:variant>
      <vt:variant>
        <vt:lpwstr>photo-1-1500014350668</vt:lpwstr>
      </vt:variant>
      <vt:variant>
        <vt:lpwstr/>
      </vt:variant>
      <vt:variant>
        <vt:i4>1900669</vt:i4>
      </vt:variant>
      <vt:variant>
        <vt:i4>24824</vt:i4>
      </vt:variant>
      <vt:variant>
        <vt:i4>1027</vt:i4>
      </vt:variant>
      <vt:variant>
        <vt:i4>1</vt:i4>
      </vt:variant>
      <vt:variant>
        <vt:lpwstr>photo-2-1500014350669</vt:lpwstr>
      </vt:variant>
      <vt:variant>
        <vt:lpwstr/>
      </vt:variant>
      <vt:variant>
        <vt:i4>7929936</vt:i4>
      </vt:variant>
      <vt:variant>
        <vt:i4>30126</vt:i4>
      </vt:variant>
      <vt:variant>
        <vt:i4>1028</vt:i4>
      </vt:variant>
      <vt:variant>
        <vt:i4>1</vt:i4>
      </vt:variant>
      <vt:variant>
        <vt:lpwstr>mso8B20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TỶ GIÁ HỐI ĐOÁI CUỐI NĂM 2011</dc:title>
  <dc:subject/>
  <dc:creator>GATEWAY</dc:creator>
  <cp:keywords/>
  <dc:description/>
  <cp:lastModifiedBy>MAC asd</cp:lastModifiedBy>
  <cp:revision>2</cp:revision>
  <dcterms:created xsi:type="dcterms:W3CDTF">2018-06-10T08:16:00Z</dcterms:created>
  <dcterms:modified xsi:type="dcterms:W3CDTF">2018-06-10T08:16:00Z</dcterms:modified>
</cp:coreProperties>
</file>