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07" w:rsidRPr="00947AC7" w:rsidRDefault="00A91707" w:rsidP="00A91707">
      <w:pPr>
        <w:ind w:firstLine="0"/>
        <w:rPr>
          <w:rFonts w:ascii="Times New Roman" w:hAnsi="Times New Roman"/>
          <w:b/>
          <w:sz w:val="26"/>
          <w:szCs w:val="26"/>
        </w:rPr>
      </w:pPr>
      <w:r>
        <w:rPr>
          <w:rFonts w:ascii="Times New Roman" w:hAnsi="Times New Roman"/>
          <w:b/>
          <w:sz w:val="26"/>
          <w:szCs w:val="26"/>
        </w:rPr>
        <w:t>BẢO ĐẢM TÍN DỤNG NGÂN HÀNG</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Kinh doanh ngân hàng là một loại hình kinh doanh đặc biệt vì đối tượng kinh doanh là tiền và thu nhập chủ yếu của ngân hàng được tạo ra từ hoạt động tín dụng. Trong khi đó bất kì một khoản cho vay nào cũng đều chứa đựng những rủi ro nhất định. Một khi có rủi ro xảy ra thì ngân hàng phải chịu tổn thất. Để hạn chế rủi ro thì ngay từ đầu tất cả các khoản cho vay phải có ít nhất hai nguồn trả nợ tách biệt. Do đó bảo đảm tín dụng là một tiêu chuẩn bổ sung những hạn chế của nhà quản trị ngân hàng cũng như phòng ngừa những diễn biến không thuận lợi. Việc ngân hàng nhận bảo đảm tín dụng nhằm hai mục đích:</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 Nếu người vay không trả được nợ thì ngân hàng có quyền bán tài sản cầm cố, thế chấp để thu hồi nợ.</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 Nhận bảo đảm tín dụng tạo cho ngân hàng lợi thế về tâm lý so với người vay bởi vì một tài sản khi đã là vật đảm bảo thì buộc người đi vay phải có trách nhiệm nhiều hơn trong việc hoàn trả nợ vay để khỏi phải gán những tài sản giá trị của mình.</w:t>
      </w:r>
    </w:p>
    <w:p w:rsidR="00A91707" w:rsidRPr="00A161ED" w:rsidRDefault="00A91707" w:rsidP="00A91707">
      <w:pPr>
        <w:tabs>
          <w:tab w:val="num" w:pos="0"/>
        </w:tabs>
        <w:ind w:firstLine="432"/>
        <w:rPr>
          <w:rFonts w:ascii="Times New Roman" w:hAnsi="Times New Roman"/>
          <w:sz w:val="26"/>
          <w:szCs w:val="26"/>
        </w:rPr>
      </w:pPr>
      <w:r>
        <w:rPr>
          <w:rFonts w:ascii="Times New Roman" w:hAnsi="Times New Roman"/>
          <w:i/>
          <w:sz w:val="26"/>
          <w:szCs w:val="26"/>
        </w:rPr>
        <w:t xml:space="preserve">    </w:t>
      </w:r>
      <w:r w:rsidRPr="00A161ED">
        <w:rPr>
          <w:rFonts w:ascii="Times New Roman" w:hAnsi="Times New Roman"/>
          <w:i/>
          <w:sz w:val="26"/>
          <w:szCs w:val="26"/>
        </w:rPr>
        <w:t>Tóm lại tài sản đảm bảo tiền vay có thể</w:t>
      </w:r>
      <w:r w:rsidRPr="00A161ED">
        <w:rPr>
          <w:rFonts w:ascii="Times New Roman" w:hAnsi="Times New Roman"/>
          <w:sz w:val="26"/>
          <w:szCs w:val="26"/>
        </w:rPr>
        <w:t>:</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 Nâng cao trách nhiệm thực hiện cam kết trả nợ của bên vay.</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 Phòng ngừa rủi ro khi phương án trả nợ dự kiến của bên vay không được thực hiện hoặc xảy ra các rủi ro không lường trước được.</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 Phòng ngừa gian lận.</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Chính vì vậy đối với ngân hàng một khoản cho vay có bảo đảm bằng tài sản luôn chứa đựng ít rủi ro hơn một khoản cho vay có bảo đảm không bằng tài sản cho nên các ngân hàng thường ưa chuộng cho vay có bảo đảm bằng tài sản hơn. Để đưa ra quyết định về việc cho vay có bảo đảm không bằng tài sản hay cho vay có bảo đảm bằng tài sản các ngân hàng thương mại thường dựa vào các tiêu chuẩn như: tính hiệu quả của dự án đầu tư, phương án sản xuất kinh doanh, khả năng tài chính của người đi vay, mục đích sử dụng tiền vay, số tiền vay...nhằm giảm thiểu tới mức thấp nhất rủi ro xảy ra.</w:t>
      </w:r>
    </w:p>
    <w:p w:rsidR="00A91707" w:rsidRPr="00A161ED" w:rsidRDefault="00A91707" w:rsidP="00A91707">
      <w:pPr>
        <w:tabs>
          <w:tab w:val="num" w:pos="0"/>
        </w:tabs>
        <w:spacing w:before="120"/>
        <w:ind w:firstLine="432"/>
        <w:rPr>
          <w:rFonts w:ascii="Times New Roman" w:hAnsi="Times New Roman"/>
          <w:i/>
          <w:sz w:val="26"/>
          <w:szCs w:val="26"/>
        </w:rPr>
      </w:pPr>
      <w:r w:rsidRPr="00A161ED">
        <w:rPr>
          <w:rFonts w:ascii="Times New Roman" w:hAnsi="Times New Roman"/>
          <w:i/>
          <w:sz w:val="26"/>
          <w:szCs w:val="26"/>
        </w:rPr>
        <w:t>Vai trò của bảo đảm tín dụng:</w:t>
      </w:r>
    </w:p>
    <w:p w:rsidR="00A91707" w:rsidRPr="00A161ED" w:rsidRDefault="00A91707" w:rsidP="00A91707">
      <w:pPr>
        <w:pStyle w:val="BodyTextIndent2"/>
        <w:spacing w:before="120"/>
        <w:rPr>
          <w:rFonts w:ascii="Times New Roman" w:hAnsi="Times New Roman"/>
          <w:sz w:val="26"/>
          <w:szCs w:val="26"/>
        </w:rPr>
      </w:pPr>
      <w:r w:rsidRPr="00A161ED">
        <w:rPr>
          <w:rFonts w:ascii="Times New Roman" w:hAnsi="Times New Roman"/>
          <w:sz w:val="26"/>
          <w:szCs w:val="26"/>
        </w:rPr>
        <w:t xml:space="preserve"> - Bảo đảm tín dụng vừa là nguồn thu nợ vừa tác động đến nghĩa vụ trả nợ, ngăn chặn tình trạng lạm dụng và sử dụng vốn thiếu tính toán của khách hàng. Thông thường tổ chức tín dụng sẽ cho vay với giá trị món vay luôn nhỏ hơn giá trị tài sản mà bên đi vay hay bên thứ ba đem cầm cố, thế chấp. Vì vậy người đi vay sẽ phải cân nhắc trước khi vay giúp cho việc đầu tư có hiệu quả cao hơn và trong quá trình sử dụng vốn vay tránh vi phạm những cam kết trong hợp đồng nếu không sẽ bị tổ chức tín dụng phát mãi tài sản. Ngược lại nếu cho vay với số tiền lớn hơn giá trị tài sản bảo đảm thì người đi vay sẽ thấy rằng không  trả nợ sẽ có lợi hơn và ngân hàng gặp rủi ro là điều khó tránh khỏi. Như vậy bảo đảm tín dụng không những là nguồn thu nợ nếu khách hàng không thanh toán được nợ đầy đủ và đúng hạn mà còn tác động đến nghĩa vụ trả nợ của khách hàng, ngăn chặn tình trạng lạm dụng, sử dụng vốn thiếu tính toán.</w:t>
      </w:r>
    </w:p>
    <w:p w:rsidR="00A91707" w:rsidRPr="00A91707" w:rsidRDefault="00A91707" w:rsidP="00A12167">
      <w:pPr>
        <w:pStyle w:val="ListBullet2"/>
      </w:pPr>
      <w:r w:rsidRPr="00A91707">
        <w:lastRenderedPageBreak/>
        <w:t>- Bảo đảm tín dụng có tác dụng phòng ngừa rủi ro tín dụng, giảm nhẹ tổn thất cho tổ chức tín dụng khi khách hàng không thanh toán được nợ.</w:t>
      </w:r>
    </w:p>
    <w:p w:rsidR="00A91707" w:rsidRPr="00A91707" w:rsidRDefault="00A91707" w:rsidP="00A12167">
      <w:pPr>
        <w:pStyle w:val="ListBullet2"/>
      </w:pPr>
    </w:p>
    <w:p w:rsidR="00A91707" w:rsidRPr="00A91707" w:rsidRDefault="00A91707" w:rsidP="00A12167">
      <w:pPr>
        <w:pStyle w:val="ListBullet2"/>
      </w:pPr>
      <w:r w:rsidRPr="00A91707">
        <w:t xml:space="preserve">Các hình thức của bảo đảm tín dụng bằng tài sản </w:t>
      </w:r>
    </w:p>
    <w:p w:rsidR="00A91707" w:rsidRPr="00A91707" w:rsidRDefault="00A91707" w:rsidP="00A12167">
      <w:pPr>
        <w:pStyle w:val="ListBullet2"/>
      </w:pPr>
      <w:r w:rsidRPr="00A91707">
        <w:t>-Hình thức thế chấp</w:t>
      </w:r>
    </w:p>
    <w:p w:rsidR="00A91707" w:rsidRPr="00A161ED" w:rsidRDefault="00A91707" w:rsidP="00A91707">
      <w:pPr>
        <w:pStyle w:val="BodyTextIndent2"/>
        <w:spacing w:before="120"/>
        <w:ind w:firstLine="432"/>
        <w:rPr>
          <w:rFonts w:ascii="Times New Roman" w:hAnsi="Times New Roman"/>
          <w:sz w:val="26"/>
          <w:szCs w:val="26"/>
        </w:rPr>
      </w:pPr>
      <w:r w:rsidRPr="00A161ED">
        <w:rPr>
          <w:rFonts w:ascii="Times New Roman" w:hAnsi="Times New Roman"/>
          <w:sz w:val="26"/>
          <w:szCs w:val="26"/>
        </w:rPr>
        <w:tab/>
        <w:t>Thế chấp là bên vay vốn dùng tài sản là bất động sản thuộc quyền sở hữu của mình để bảo đảm thực hiện nghĩa vụ trả nợ khi nguồn thu nợ thứ nhất bị mất. Có các loại thế chấp:</w:t>
      </w:r>
    </w:p>
    <w:p w:rsidR="00A91707" w:rsidRPr="00A161ED" w:rsidRDefault="00A91707" w:rsidP="00A91707">
      <w:pPr>
        <w:pStyle w:val="BodyTextIndent"/>
        <w:tabs>
          <w:tab w:val="left" w:pos="6795"/>
        </w:tabs>
        <w:spacing w:before="120"/>
        <w:ind w:firstLine="432"/>
        <w:rPr>
          <w:rFonts w:ascii="Times New Roman" w:hAnsi="Times New Roman"/>
          <w:sz w:val="26"/>
          <w:szCs w:val="26"/>
        </w:rPr>
      </w:pPr>
      <w:r w:rsidRPr="00A161ED">
        <w:rPr>
          <w:rFonts w:ascii="Times New Roman" w:hAnsi="Times New Roman"/>
          <w:sz w:val="26"/>
          <w:szCs w:val="26"/>
        </w:rPr>
        <w:t>- Căn cứ theo tính chất pháp lý:</w:t>
      </w:r>
      <w:r>
        <w:rPr>
          <w:rFonts w:ascii="Times New Roman" w:hAnsi="Times New Roman"/>
          <w:sz w:val="26"/>
          <w:szCs w:val="26"/>
        </w:rPr>
        <w:tab/>
      </w:r>
    </w:p>
    <w:p w:rsidR="00A91707" w:rsidRPr="00A161ED" w:rsidRDefault="00A91707" w:rsidP="00A91707">
      <w:pPr>
        <w:pStyle w:val="BodyTextIndent2"/>
        <w:spacing w:before="120"/>
        <w:ind w:firstLine="432"/>
        <w:rPr>
          <w:rFonts w:ascii="Times New Roman" w:hAnsi="Times New Roman"/>
          <w:sz w:val="26"/>
          <w:szCs w:val="26"/>
        </w:rPr>
      </w:pPr>
      <w:r w:rsidRPr="00A161ED">
        <w:rPr>
          <w:rFonts w:ascii="Times New Roman" w:hAnsi="Times New Roman"/>
          <w:sz w:val="26"/>
          <w:szCs w:val="26"/>
        </w:rPr>
        <w:tab/>
        <w:t>+ Thế chấp pháp lý: là phương thức thế chấp mà khách hàng lập sẵn một giấy sang nhượng chủ quyền để khi không có tiền trả nợ, ngân hàng có quyền bán hay quản lý tài sản đó.</w:t>
      </w:r>
    </w:p>
    <w:p w:rsidR="00A91707" w:rsidRPr="00A161ED" w:rsidRDefault="00A91707" w:rsidP="00A91707">
      <w:pPr>
        <w:spacing w:before="120"/>
        <w:ind w:firstLine="432"/>
        <w:rPr>
          <w:rFonts w:ascii="Times New Roman" w:hAnsi="Times New Roman"/>
          <w:sz w:val="26"/>
          <w:szCs w:val="26"/>
        </w:rPr>
      </w:pPr>
      <w:r w:rsidRPr="00A161ED">
        <w:rPr>
          <w:rFonts w:ascii="Times New Roman" w:hAnsi="Times New Roman"/>
          <w:sz w:val="26"/>
          <w:szCs w:val="26"/>
        </w:rPr>
        <w:tab/>
        <w:t>+ Thế chấp công bằng: ngân hàng chỉ giữ bản chính giấy chứng nhận quyền sở hữu tài sản bảo đảm cho khoản vay. Do đó ngân hàng muốn phát mãi tài sản phải chờ qua phán quyết của tòa án.</w:t>
      </w:r>
    </w:p>
    <w:p w:rsidR="00A91707" w:rsidRPr="00A161ED" w:rsidRDefault="00A91707" w:rsidP="00A91707">
      <w:pPr>
        <w:spacing w:before="120"/>
        <w:ind w:firstLine="432"/>
        <w:rPr>
          <w:rFonts w:ascii="Times New Roman" w:hAnsi="Times New Roman"/>
          <w:sz w:val="26"/>
          <w:szCs w:val="26"/>
        </w:rPr>
      </w:pPr>
      <w:r w:rsidRPr="00A161ED">
        <w:rPr>
          <w:rFonts w:ascii="Times New Roman" w:hAnsi="Times New Roman"/>
          <w:sz w:val="26"/>
          <w:szCs w:val="26"/>
        </w:rPr>
        <w:tab/>
        <w:t>- Căn cứ vào số lần thế chấp:</w:t>
      </w:r>
    </w:p>
    <w:p w:rsidR="00A91707" w:rsidRPr="00A161ED" w:rsidRDefault="00A91707" w:rsidP="00A91707">
      <w:pPr>
        <w:spacing w:before="120"/>
        <w:ind w:firstLine="432"/>
        <w:rPr>
          <w:rFonts w:ascii="Times New Roman" w:hAnsi="Times New Roman"/>
          <w:sz w:val="26"/>
          <w:szCs w:val="26"/>
        </w:rPr>
      </w:pPr>
      <w:r w:rsidRPr="00A161ED">
        <w:rPr>
          <w:rFonts w:ascii="Times New Roman" w:hAnsi="Times New Roman"/>
          <w:sz w:val="26"/>
          <w:szCs w:val="26"/>
        </w:rPr>
        <w:tab/>
        <w:t>+ Thế chấp thứ nhất: Là tài sản đang thế chấp cho một món vay.</w:t>
      </w:r>
    </w:p>
    <w:p w:rsidR="00A91707" w:rsidRPr="00A161ED" w:rsidRDefault="00A91707" w:rsidP="00A91707">
      <w:pPr>
        <w:spacing w:before="120"/>
        <w:ind w:firstLine="432"/>
        <w:rPr>
          <w:rFonts w:ascii="Times New Roman" w:hAnsi="Times New Roman"/>
          <w:sz w:val="26"/>
          <w:szCs w:val="26"/>
        </w:rPr>
      </w:pPr>
      <w:r w:rsidRPr="00A161ED">
        <w:rPr>
          <w:rFonts w:ascii="Times New Roman" w:hAnsi="Times New Roman"/>
          <w:sz w:val="26"/>
          <w:szCs w:val="26"/>
        </w:rPr>
        <w:tab/>
        <w:t>+ Thế  chấp thứ hai: tài sản đang thế chấp cho món nợ thứ nhất nhưng giá trị thế chấp còn thừa ra khách hàng đang thế chấp cho ngân hàng khác (hay ngân hàng đó) để vay thêm một món nợ nữa.</w:t>
      </w:r>
    </w:p>
    <w:p w:rsidR="00A91707" w:rsidRPr="007C2611" w:rsidRDefault="00A91707" w:rsidP="00A91707">
      <w:pPr>
        <w:pStyle w:val="BodyTextIndent2"/>
        <w:spacing w:before="120"/>
        <w:ind w:firstLine="432"/>
        <w:rPr>
          <w:rFonts w:ascii="Times New Roman" w:hAnsi="Times New Roman"/>
          <w:i/>
          <w:sz w:val="26"/>
          <w:szCs w:val="26"/>
        </w:rPr>
      </w:pPr>
      <w:r w:rsidRPr="00A161ED">
        <w:rPr>
          <w:rFonts w:ascii="Times New Roman" w:hAnsi="Times New Roman"/>
          <w:sz w:val="26"/>
          <w:szCs w:val="26"/>
        </w:rPr>
        <w:tab/>
      </w:r>
      <w:r w:rsidRPr="007C2611">
        <w:rPr>
          <w:rFonts w:ascii="Times New Roman" w:hAnsi="Times New Roman"/>
          <w:i/>
          <w:sz w:val="26"/>
          <w:szCs w:val="26"/>
        </w:rPr>
        <w:t>*. Quy trình cho vay thế chấp tài sản</w:t>
      </w:r>
    </w:p>
    <w:p w:rsidR="00A91707" w:rsidRPr="00A161ED" w:rsidRDefault="00A91707" w:rsidP="00A91707">
      <w:pPr>
        <w:pStyle w:val="BodyTextIndent2"/>
        <w:spacing w:before="120"/>
        <w:ind w:firstLine="432"/>
        <w:rPr>
          <w:rFonts w:ascii="Times New Roman" w:hAnsi="Times New Roman"/>
          <w:sz w:val="26"/>
          <w:szCs w:val="26"/>
        </w:rPr>
      </w:pPr>
      <w:r w:rsidRPr="00A161ED">
        <w:rPr>
          <w:rFonts w:ascii="Times New Roman" w:hAnsi="Times New Roman"/>
          <w:sz w:val="26"/>
          <w:szCs w:val="26"/>
        </w:rPr>
        <w:tab/>
        <w:t xml:space="preserve">(1). Giám định tính chất pháp lý của tài sản thế chấp. </w:t>
      </w:r>
    </w:p>
    <w:p w:rsidR="00A91707" w:rsidRPr="00A161ED" w:rsidRDefault="00A91707" w:rsidP="00A91707">
      <w:pPr>
        <w:pStyle w:val="BodyTextIndent2"/>
        <w:spacing w:before="120"/>
        <w:ind w:firstLine="432"/>
        <w:rPr>
          <w:rFonts w:ascii="Times New Roman" w:hAnsi="Times New Roman"/>
          <w:sz w:val="26"/>
          <w:szCs w:val="26"/>
        </w:rPr>
      </w:pPr>
      <w:r w:rsidRPr="00A161ED">
        <w:rPr>
          <w:rFonts w:ascii="Times New Roman" w:hAnsi="Times New Roman"/>
          <w:sz w:val="26"/>
          <w:szCs w:val="26"/>
        </w:rPr>
        <w:tab/>
        <w:t xml:space="preserve">(2). Định giá tài sản thế chấp. </w:t>
      </w:r>
    </w:p>
    <w:p w:rsidR="00A91707" w:rsidRPr="00A161ED" w:rsidRDefault="00A91707" w:rsidP="00A91707">
      <w:pPr>
        <w:pStyle w:val="BodyTextIndent2"/>
        <w:spacing w:before="120"/>
        <w:ind w:firstLine="432"/>
        <w:rPr>
          <w:rFonts w:ascii="Times New Roman" w:hAnsi="Times New Roman"/>
          <w:sz w:val="26"/>
          <w:szCs w:val="26"/>
        </w:rPr>
      </w:pPr>
      <w:r w:rsidRPr="00A161ED">
        <w:rPr>
          <w:rFonts w:ascii="Times New Roman" w:hAnsi="Times New Roman"/>
          <w:sz w:val="26"/>
          <w:szCs w:val="26"/>
        </w:rPr>
        <w:tab/>
        <w:t xml:space="preserve">(3). Xác định số tiền cho vay tối đa so với giá trị tài sản thế chấp. </w:t>
      </w:r>
    </w:p>
    <w:p w:rsidR="00A91707" w:rsidRPr="00A161ED" w:rsidRDefault="00A91707" w:rsidP="00A91707">
      <w:pPr>
        <w:pStyle w:val="BodyTextIndent2"/>
        <w:spacing w:before="120"/>
        <w:ind w:firstLine="432"/>
        <w:rPr>
          <w:rFonts w:ascii="Times New Roman" w:hAnsi="Times New Roman"/>
          <w:sz w:val="26"/>
          <w:szCs w:val="26"/>
        </w:rPr>
      </w:pPr>
      <w:r w:rsidRPr="00A161ED">
        <w:rPr>
          <w:rFonts w:ascii="Times New Roman" w:hAnsi="Times New Roman"/>
          <w:sz w:val="26"/>
          <w:szCs w:val="26"/>
        </w:rPr>
        <w:tab/>
        <w:t>(4). Hợp đồng thế chấp. Thủ tục thế chấp bao gồm hợp đồng thế chấp, giấy chứng nhận quyền sở hữu tài sản (hoặc giấy chứng nhận quyền sử dụng đất, hợp đồng thuê đất). Hợp đồng thế chấp phải được lập thành văn bản riêng hoặc ghi trong hợp đồng tín dụng. Đối với tài sản thế chấp được hình thành từ vốn vay, khi tài sản đưa vào sử dụng phải lập phụ lục hợp đồng thế chấp tài sản hình thành vốn vay, trong đó mô tả đặc điểm và xác định giá trị tài sản. Hợp đồng thế chấp có chứng nhận của công chứng Nhà nước trong trường hợp các bên có thoả thuận hoặc pháp luật quy định phải thực hiện. Sau khi hợp đồng thế chấp được ký kết, các bên tham gia hợp đồng hoặc người được uỷ quyền có thể đăng ký với các cơ quan đăng ký giao dịch bảo đảm (những tài sản bắt buộc phảI đăng ký giao dịch bảo đảm: tài sản quy định phải đăng ký quyền sở hữu theo luật, tài sản giao cho bên thế chấp hay người thứ ba nắm giữ (nghị định 08/2000/NĐ-C</w:t>
      </w:r>
      <w:r>
        <w:rPr>
          <w:rFonts w:ascii="Times New Roman" w:hAnsi="Times New Roman"/>
          <w:sz w:val="26"/>
          <w:szCs w:val="26"/>
        </w:rPr>
        <w:t>P về đăng ký giao dịch bảo đảm)</w:t>
      </w:r>
    </w:p>
    <w:p w:rsidR="00A91707" w:rsidRPr="00A161ED" w:rsidRDefault="00A91707" w:rsidP="00A91707">
      <w:pPr>
        <w:pStyle w:val="BodyTextIndent2"/>
        <w:spacing w:before="120"/>
        <w:ind w:firstLine="432"/>
        <w:rPr>
          <w:rFonts w:ascii="Times New Roman" w:hAnsi="Times New Roman"/>
          <w:sz w:val="26"/>
          <w:szCs w:val="26"/>
        </w:rPr>
      </w:pPr>
      <w:r w:rsidRPr="00A161ED">
        <w:rPr>
          <w:rFonts w:ascii="Times New Roman" w:hAnsi="Times New Roman"/>
          <w:sz w:val="26"/>
          <w:szCs w:val="26"/>
        </w:rPr>
        <w:lastRenderedPageBreak/>
        <w:tab/>
        <w:t>(5). Thời hạn thế chấp và giảI chấp. Thời hạn thế chấp tài sản không có thời hạn riêng mà phụ thuộc vào thời hạn thực hiện nghĩa vụ được bảo đảm bằng tài sản thế chấp, có nghĩa là khi người vay thực hiện xong nghĩa vụ trả nợ được đảm bảo bằng tài sản thế chấp thì thời hạn thế chấp cũng chấp dứt. Về mặt thủ tục, khi thực hiện xong nghĩa vụ, ngân hàng sẽ trả lại giấy chứng nhận sở hữu tài sản thế chấp cho người vay và lập giấy xác nhận giải toả tài sản thế chấp gởi đến cơ quan có liên quan. Nếu không trả được nợ thì ngân hàng sẽ xử lý tài sản thế chấp theo quy định của pháp luật.</w:t>
      </w:r>
    </w:p>
    <w:p w:rsidR="00A91707" w:rsidRPr="00A161ED" w:rsidRDefault="00A91707" w:rsidP="00A91707">
      <w:pPr>
        <w:pStyle w:val="BodyTextIndent2"/>
        <w:spacing w:before="120"/>
        <w:ind w:firstLine="432"/>
        <w:rPr>
          <w:rFonts w:ascii="Times New Roman" w:hAnsi="Times New Roman"/>
          <w:i/>
          <w:sz w:val="26"/>
          <w:szCs w:val="26"/>
        </w:rPr>
      </w:pPr>
      <w:r w:rsidRPr="00A161ED">
        <w:rPr>
          <w:rFonts w:ascii="Times New Roman" w:hAnsi="Times New Roman"/>
          <w:i/>
          <w:sz w:val="26"/>
          <w:szCs w:val="26"/>
        </w:rPr>
        <w:t>Hình thức cầm cố</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Cầm cố là việc người đi vay tiến hành chuyển giao tài sản (động sản) thuộc sở hữu của mình cho người cho vay cất giữ để làm vật bảo đảm cho số nợ vay trong thời gian nhất định. Trong nghiệp vụ cho vay cầm cố  gồm các bên: Bên cầm cố (Là các pháp nhân hay thể nhân khi vay vốn ngân hàng buộc phải có tài sản cầm cố). Bên nhận cầm cố (Là bên cho vay, có thể là ngân hàng thương mại, công ty tài chính hay hợp tác xã tín dụng). Có các loại cầm cố:</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(1) Cầm cố hàng hóa:  Là hình thức đảm bảo có ưu thế hơn đảm bảo bằng bất động sản bởi nó giúp ngân hàng dễ bán để thu nợ hơn khi khách hàng vay không trả được nợ. NgoàI ra, nó giúp khách hàng vay dự trữ vật tư hàng hoá đảm bảo ổn định sản xuất và đáp ứng yêu cầu thị trường. Điều kiện cầm cố hàng hoá là hàng hoá có giá trị ổn định, dễ tiêu thụ ở hiện tại và tương lai, và là hàng hoá được phép lưu thông và khách hàng được phép kinh doanh hàng hoá đó. Việc quản lý hàng hoá cầm cố thường được thực hiện theo các cách sau:</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 Quản lý tại kho ngân hàng: Khách hàng chuyển giao tài sản cho ngân hàng, ngân hàng lập giấy biên nhận cho khách hàng và thực hiện quản lý, bảo quản hàng hoá không bị hư hại cho đến khi khách hàng trả xong nợ thì ngân hàng trả lại cho khách hàng. Cách này ít được áp dụng hiện nay.</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 Quản lý tại kho khách hàng: Hàng hoá cầm cố được lưu giữ ở một kho riêng của khách hàng và đặt dưới sự giám sát của ngân hàng. Ngân hàng ký với khách hàng 1 hợp đồng thuê kho và đăng ký hợp đồng này với cơ quan  Nhà nước. Ngân hàng là người duy nhất giữ chìa khoá, được phép ra vào kho và có bảng niêm phong kho mang tên ngân hàng.</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 xml:space="preserve">+ Quản lý tại kho của bên thứ ba: Người thứ ba là người nhận ký thác đơn thuần hay người nhận ký gởi để bán hàng hoá hộ hay là người nhận gia công. trong trường hợp này, người thứ ba phảI có trách nhiệm bảo quản hàng hoá, tham gia vào việc ký kết hợp đồng cầm cố và cam kết chuyển giao hàng hoá khi có sự dồng ý của ngân hàng. </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Theo quy định của pháp luật, đối với tài sản không đăng ký quyền sở hữu thì việc cầm cố phải giao tài sản cho ngân hàng nên ngân hàng có thể lập thủ tục thuê kho của bên thứ ba giống như trường hợp hai hoặc áp dụng phương thức cầm cố các quyền tài sản phát sinh từ hợp đồng ký thác, gia công</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 xml:space="preserve">(2) Cầm cố chứng khoán: Bên đi vay chuyển giao các chứng khoán cầm cố tại NH để nhận tiền vay. Khi đáo hạn khách hàng trả nợ và nhận lại chứng khoán. Các loại chứng khoán cầm cố như công trái , trái phiếu kho bạc, TPđô thị, TPcông ty, cổ phiếu và các </w:t>
      </w:r>
      <w:r w:rsidRPr="00A161ED">
        <w:rPr>
          <w:rFonts w:ascii="Times New Roman" w:hAnsi="Times New Roman"/>
          <w:sz w:val="26"/>
          <w:szCs w:val="26"/>
        </w:rPr>
        <w:lastRenderedPageBreak/>
        <w:t>giấy nợ khác. Thông thường, trái phiếu nhà nước có tỷ lệ cho vay cao hơn chứng khoán công ty vì mức rủi ro thấp.</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(3). Cầm cố các chứng chỉ tiền gửi: Chủ yếu là tiền gửi tiết kiệm và tiền gửi có kì hạn (nếu cầm cố tiền gửi thanh toán thì tài khoản tiền gửi thanh toán sẽ bị phong tỏa). Đây là loại hình đảm bảo an toàn và ít tốn kém vì không cần phải định giá, việc xử lý thu hồi nợ đơn giản, chi phí phát sinh trong quá trình bảo quản không đáng kể.</w:t>
      </w:r>
    </w:p>
    <w:p w:rsidR="00A91707" w:rsidRPr="00A161ED" w:rsidRDefault="00A91707" w:rsidP="00A91707">
      <w:pPr>
        <w:tabs>
          <w:tab w:val="num" w:pos="0"/>
        </w:tabs>
        <w:ind w:firstLine="432"/>
        <w:rPr>
          <w:rFonts w:ascii="Times New Roman" w:hAnsi="Times New Roman"/>
          <w:sz w:val="26"/>
          <w:szCs w:val="26"/>
        </w:rPr>
      </w:pPr>
      <w:r w:rsidRPr="00A161ED">
        <w:rPr>
          <w:rFonts w:ascii="Times New Roman" w:hAnsi="Times New Roman"/>
          <w:sz w:val="26"/>
          <w:szCs w:val="26"/>
        </w:rPr>
        <w:tab/>
        <w:t>(4). Cầm cố vàng, đá quý, ngọc quý...</w:t>
      </w:r>
    </w:p>
    <w:p w:rsidR="00A91707" w:rsidRPr="00A161ED" w:rsidRDefault="00A91707" w:rsidP="00A91707">
      <w:pPr>
        <w:tabs>
          <w:tab w:val="num" w:pos="0"/>
        </w:tabs>
        <w:rPr>
          <w:rFonts w:ascii="Times New Roman" w:hAnsi="Times New Roman"/>
          <w:sz w:val="26"/>
          <w:szCs w:val="26"/>
        </w:rPr>
      </w:pPr>
      <w:r w:rsidRPr="00A161ED">
        <w:rPr>
          <w:rFonts w:ascii="Times New Roman" w:hAnsi="Times New Roman"/>
          <w:noProof/>
          <w:sz w:val="26"/>
          <w:szCs w:val="26"/>
          <w:lang w:val="nl-NL"/>
        </w:rPr>
        <w:pict>
          <v:group id="_x0000_s1026" style="position:absolute;left:0;text-align:left;margin-left:57.6pt;margin-top:73.2pt;width:286.45pt;height:136.65pt;z-index:251660288" coordorigin="2232,8280" coordsize="5729,2733">
            <v:group id="_x0000_s1027" style="position:absolute;left:2232;top:8280;width:5729;height:2733" coordorigin="2155,8280" coordsize="5729,2733">
              <v:shapetype id="_x0000_t202" coordsize="21600,21600" o:spt="202" path="m,l,21600r21600,l21600,xe">
                <v:stroke joinstyle="miter"/>
                <v:path gradientshapeok="t" o:connecttype="rect"/>
              </v:shapetype>
              <v:shape id="_x0000_s1028" type="#_x0000_t202" style="position:absolute;left:2155;top:8751;width:1872;height:864">
                <v:textbox style="mso-next-textbox:#_x0000_s1028">
                  <w:txbxContent>
                    <w:p w:rsidR="00A91707" w:rsidRDefault="00A91707" w:rsidP="00A91707">
                      <w:pPr>
                        <w:ind w:firstLine="0"/>
                        <w:rPr>
                          <w:rFonts w:ascii="Times New Roman" w:hAnsi="Times New Roman"/>
                          <w:color w:val="0000FF"/>
                          <w:lang w:val="nl-NL"/>
                        </w:rPr>
                      </w:pPr>
                      <w:r>
                        <w:rPr>
                          <w:rFonts w:ascii="Times New Roman" w:hAnsi="Times New Roman"/>
                          <w:color w:val="0000FF"/>
                          <w:lang w:val="nl-NL"/>
                        </w:rPr>
                        <w:t>Người nhận thầu</w:t>
                      </w:r>
                    </w:p>
                  </w:txbxContent>
                </v:textbox>
              </v:shape>
              <v:shape id="_x0000_s1029" type="#_x0000_t202" style="position:absolute;left:6012;top:8640;width:1872;height:864">
                <v:textbox style="mso-next-textbox:#_x0000_s1029">
                  <w:txbxContent>
                    <w:p w:rsidR="00A91707" w:rsidRDefault="00A91707" w:rsidP="00A91707">
                      <w:pPr>
                        <w:pStyle w:val="BodyText3"/>
                        <w:jc w:val="center"/>
                        <w:rPr>
                          <w:color w:val="0000FF"/>
                          <w:szCs w:val="24"/>
                          <w:lang w:val="nl-NL"/>
                        </w:rPr>
                      </w:pPr>
                      <w:r>
                        <w:rPr>
                          <w:color w:val="0000FF"/>
                          <w:szCs w:val="24"/>
                          <w:lang w:val="nl-NL"/>
                        </w:rPr>
                        <w:t>Ngân hàng</w:t>
                      </w:r>
                    </w:p>
                  </w:txbxContent>
                </v:textbox>
              </v:shape>
              <v:shape id="_x0000_s1030" type="#_x0000_t202" style="position:absolute;left:4140;top:10293;width:1872;height:720">
                <v:textbox style="mso-next-textbox:#_x0000_s1030">
                  <w:txbxContent>
                    <w:p w:rsidR="00A91707" w:rsidRDefault="00A91707" w:rsidP="00A91707">
                      <w:pPr>
                        <w:ind w:firstLine="0"/>
                        <w:rPr>
                          <w:rFonts w:ascii="Times New Roman" w:hAnsi="Times New Roman"/>
                          <w:color w:val="0000FF"/>
                          <w:lang w:val="nl-NL"/>
                        </w:rPr>
                      </w:pPr>
                      <w:r>
                        <w:rPr>
                          <w:rFonts w:ascii="Times New Roman" w:hAnsi="Times New Roman"/>
                          <w:color w:val="0000FF"/>
                          <w:lang w:val="nl-NL"/>
                        </w:rPr>
                        <w:t>Người thanh toán</w:t>
                      </w:r>
                    </w:p>
                  </w:txbxContent>
                </v:textbox>
              </v:shape>
              <v:line id="_x0000_s1031" style="position:absolute;flip:x" from="3312,10800" to="4207,10800"/>
              <v:line id="_x0000_s1032" style="position:absolute;flip:y" from="3312,9540" to="3312,10730">
                <v:stroke endarrow="block"/>
              </v:line>
              <v:line id="_x0000_s1033" style="position:absolute" from="3960,9236" to="6012,9236">
                <v:stroke startarrow="block" endarrow="block"/>
              </v:line>
              <v:line id="_x0000_s1034" style="position:absolute" from="4032,9416" to="6012,9416">
                <v:stroke endarrow="block"/>
              </v:line>
              <v:line id="_x0000_s1035" style="position:absolute" from="6012,10800" to="6732,10800"/>
              <v:line id="_x0000_s1036" style="position:absolute;flip:x y" from="6732,9540" to="6732,10800">
                <v:stroke endarrow="block"/>
              </v:line>
              <v:line id="_x0000_s1037" style="position:absolute;flip:x" from="4032,8886" to="6012,8886">
                <v:stroke endarrow="block"/>
              </v:line>
              <v:shape id="_x0000_s1038" type="#_x0000_t202" style="position:absolute;left:4932;top:9540;width:651;height:432" stroked="f">
                <v:stroke dashstyle="1 1" endcap="round"/>
                <v:textbox style="mso-next-textbox:#_x0000_s1038">
                  <w:txbxContent>
                    <w:p w:rsidR="00A91707" w:rsidRDefault="00A91707" w:rsidP="00A91707">
                      <w:pPr>
                        <w:jc w:val="center"/>
                        <w:rPr>
                          <w:rFonts w:ascii="Times New Roman" w:hAnsi="Times New Roman"/>
                          <w:lang w:val="nl-NL"/>
                        </w:rPr>
                      </w:pPr>
                      <w:r>
                        <w:rPr>
                          <w:rFonts w:ascii="Times New Roman" w:hAnsi="Times New Roman"/>
                          <w:lang w:val="nl-NL"/>
                        </w:rPr>
                        <w:t>(1)</w:t>
                      </w:r>
                    </w:p>
                  </w:txbxContent>
                </v:textbox>
              </v:shape>
              <v:shape id="_x0000_s1039" type="#_x0000_t202" style="position:absolute;left:6912;top:10080;width:720;height:432" stroked="f">
                <v:stroke dashstyle="1 1" endcap="round"/>
                <v:textbox style="mso-next-textbox:#_x0000_s1039">
                  <w:txbxContent>
                    <w:p w:rsidR="00A91707" w:rsidRDefault="00A91707" w:rsidP="00A91707">
                      <w:pPr>
                        <w:rPr>
                          <w:rFonts w:ascii="Times New Roman" w:hAnsi="Times New Roman"/>
                          <w:lang w:val="nl-NL"/>
                        </w:rPr>
                      </w:pPr>
                      <w:r>
                        <w:rPr>
                          <w:rFonts w:ascii="Times New Roman" w:hAnsi="Times New Roman"/>
                          <w:lang w:val="nl-NL"/>
                        </w:rPr>
                        <w:t>(4)</w:t>
                      </w:r>
                    </w:p>
                  </w:txbxContent>
                </v:textbox>
              </v:shape>
              <v:shape id="_x0000_s1040" type="#_x0000_t202" style="position:absolute;left:3325;top:10091;width:651;height:432" stroked="f">
                <v:stroke dashstyle="1 1" endcap="round"/>
                <v:textbox style="mso-next-textbox:#_x0000_s1040">
                  <w:txbxContent>
                    <w:p w:rsidR="00A91707" w:rsidRDefault="00A91707" w:rsidP="00A91707">
                      <w:pPr>
                        <w:jc w:val="center"/>
                        <w:rPr>
                          <w:rFonts w:ascii="Times New Roman" w:hAnsi="Times New Roman"/>
                          <w:lang w:val="nl-NL"/>
                        </w:rPr>
                      </w:pPr>
                      <w:r>
                        <w:rPr>
                          <w:rFonts w:ascii="Times New Roman" w:hAnsi="Times New Roman"/>
                          <w:lang w:val="nl-NL"/>
                        </w:rPr>
                        <w:t>(2)</w:t>
                      </w:r>
                    </w:p>
                  </w:txbxContent>
                </v:textbox>
              </v:shape>
              <v:shape id="_x0000_s1041" type="#_x0000_t202" style="position:absolute;left:4572;top:8280;width:651;height:432" stroked="f">
                <v:stroke dashstyle="1 1" endcap="round"/>
                <v:textbox style="mso-next-textbox:#_x0000_s1041">
                  <w:txbxContent>
                    <w:p w:rsidR="00A91707" w:rsidRDefault="00A91707" w:rsidP="00A91707">
                      <w:pPr>
                        <w:jc w:val="center"/>
                        <w:rPr>
                          <w:rFonts w:ascii="Times New Roman" w:hAnsi="Times New Roman"/>
                          <w:lang w:val="nl-NL"/>
                        </w:rPr>
                      </w:pPr>
                      <w:r>
                        <w:rPr>
                          <w:rFonts w:ascii="Times New Roman" w:hAnsi="Times New Roman"/>
                          <w:lang w:val="nl-NL"/>
                        </w:rPr>
                        <w:t>(3)</w:t>
                      </w:r>
                    </w:p>
                  </w:txbxContent>
                </v:textbox>
              </v:shape>
            </v:group>
            <v:shape id="_x0000_s1042" type="#_x0000_t202" style="position:absolute;left:4752;top:9000;width:540;height:360">
              <v:textbox style="mso-next-textbox:#_x0000_s1042">
                <w:txbxContent>
                  <w:p w:rsidR="00A91707" w:rsidRDefault="00A91707" w:rsidP="00A91707">
                    <w:pPr>
                      <w:rPr>
                        <w:rFonts w:ascii="Times New Roman" w:hAnsi="Times New Roman"/>
                        <w:lang w:val="nl-NL"/>
                      </w:rPr>
                    </w:pPr>
                    <w:r>
                      <w:rPr>
                        <w:rFonts w:ascii="Times New Roman" w:hAnsi="Times New Roman"/>
                        <w:lang w:val="nl-NL"/>
                      </w:rPr>
                      <w:t>5</w:t>
                    </w:r>
                  </w:p>
                </w:txbxContent>
              </v:textbox>
            </v:shape>
          </v:group>
        </w:pict>
      </w:r>
      <w:r w:rsidRPr="00A161ED">
        <w:rPr>
          <w:rFonts w:ascii="Times New Roman" w:hAnsi="Times New Roman"/>
          <w:sz w:val="26"/>
          <w:szCs w:val="26"/>
        </w:rPr>
        <w:t>(5). Bảo đảm bằng hợp đồng nhận thầu: Bên đi vay nhượng lại hợp đồng nhận thầu cho ngân hàng để được tài trợ vốn vì trong hợp đồng có cam kết trả tiền của bên nhận thầu. Các công ty có hợp đồng xây dựng hoặc cung cấp nếu thiếu vốn để thực hiện hợp đồng có thể nhượng lại hợp đồng đó cho ngân hàng để được tài trợ vốn. Quy trình tài trợ trên cơ sở chuyển giao hợp đồng nhận thầu như sau:</w:t>
      </w:r>
    </w:p>
    <w:p w:rsidR="00A91707" w:rsidRPr="00A161ED" w:rsidRDefault="00A91707" w:rsidP="00A91707">
      <w:pPr>
        <w:tabs>
          <w:tab w:val="num" w:pos="0"/>
        </w:tabs>
        <w:rPr>
          <w:rFonts w:ascii="Times New Roman" w:hAnsi="Times New Roman"/>
          <w:sz w:val="26"/>
          <w:szCs w:val="26"/>
        </w:rPr>
      </w:pPr>
    </w:p>
    <w:p w:rsidR="00A91707" w:rsidRPr="00A161ED" w:rsidRDefault="00A91707" w:rsidP="00A91707">
      <w:pPr>
        <w:pStyle w:val="BodyTextIndent2"/>
        <w:ind w:firstLine="432"/>
        <w:rPr>
          <w:rFonts w:ascii="Times New Roman" w:hAnsi="Times New Roman"/>
          <w:sz w:val="26"/>
          <w:szCs w:val="26"/>
        </w:rPr>
      </w:pPr>
    </w:p>
    <w:p w:rsidR="00A91707" w:rsidRPr="00A161ED" w:rsidRDefault="00A91707" w:rsidP="00A91707">
      <w:pPr>
        <w:pStyle w:val="BodyTextIndent2"/>
        <w:tabs>
          <w:tab w:val="left" w:pos="3600"/>
          <w:tab w:val="left" w:pos="5387"/>
        </w:tabs>
        <w:ind w:firstLine="432"/>
        <w:rPr>
          <w:rFonts w:ascii="Times New Roman" w:hAnsi="Times New Roman"/>
          <w:sz w:val="26"/>
          <w:szCs w:val="26"/>
        </w:rPr>
      </w:pPr>
      <w:r w:rsidRPr="00A161ED">
        <w:rPr>
          <w:rFonts w:ascii="Times New Roman" w:hAnsi="Times New Roman"/>
          <w:sz w:val="26"/>
          <w:szCs w:val="26"/>
        </w:rPr>
        <w:tab/>
      </w:r>
      <w:r w:rsidRPr="00A161ED">
        <w:rPr>
          <w:rFonts w:ascii="Times New Roman" w:hAnsi="Times New Roman"/>
          <w:sz w:val="26"/>
          <w:szCs w:val="26"/>
        </w:rPr>
        <w:tab/>
      </w:r>
      <w:r w:rsidRPr="00A161ED">
        <w:rPr>
          <w:rFonts w:ascii="Times New Roman" w:hAnsi="Times New Roman"/>
          <w:sz w:val="26"/>
          <w:szCs w:val="26"/>
        </w:rPr>
        <w:tab/>
      </w:r>
    </w:p>
    <w:p w:rsidR="00A91707" w:rsidRPr="00A161ED" w:rsidRDefault="00A91707" w:rsidP="00A91707">
      <w:pPr>
        <w:pStyle w:val="BodyTextIndent2"/>
        <w:tabs>
          <w:tab w:val="left" w:pos="5387"/>
        </w:tabs>
        <w:ind w:firstLine="432"/>
        <w:rPr>
          <w:rFonts w:ascii="Times New Roman" w:hAnsi="Times New Roman"/>
          <w:sz w:val="26"/>
          <w:szCs w:val="26"/>
        </w:rPr>
      </w:pPr>
    </w:p>
    <w:p w:rsidR="00A91707" w:rsidRPr="00A161ED" w:rsidRDefault="00A91707" w:rsidP="00A91707">
      <w:pPr>
        <w:pStyle w:val="BodyTextIndent2"/>
        <w:tabs>
          <w:tab w:val="left" w:pos="5387"/>
        </w:tabs>
        <w:ind w:firstLine="432"/>
        <w:rPr>
          <w:rFonts w:ascii="Times New Roman" w:hAnsi="Times New Roman"/>
          <w:sz w:val="26"/>
          <w:szCs w:val="26"/>
        </w:rPr>
      </w:pPr>
    </w:p>
    <w:p w:rsidR="00A91707" w:rsidRPr="00A161ED" w:rsidRDefault="00A91707" w:rsidP="00A91707">
      <w:pPr>
        <w:pStyle w:val="BodyTextIndent2"/>
        <w:tabs>
          <w:tab w:val="left" w:pos="5387"/>
        </w:tabs>
        <w:ind w:firstLine="432"/>
        <w:rPr>
          <w:rFonts w:ascii="Times New Roman" w:hAnsi="Times New Roman"/>
          <w:sz w:val="26"/>
          <w:szCs w:val="26"/>
        </w:rPr>
      </w:pPr>
    </w:p>
    <w:p w:rsidR="00A91707" w:rsidRDefault="00A91707" w:rsidP="00A91707">
      <w:pPr>
        <w:pStyle w:val="BodyTextIndent2"/>
        <w:tabs>
          <w:tab w:val="left" w:pos="4320"/>
          <w:tab w:val="left" w:pos="5387"/>
        </w:tabs>
        <w:ind w:firstLine="432"/>
        <w:rPr>
          <w:rFonts w:ascii="Times New Roman" w:hAnsi="Times New Roman"/>
          <w:sz w:val="26"/>
          <w:szCs w:val="26"/>
        </w:rPr>
      </w:pPr>
    </w:p>
    <w:p w:rsidR="00A91707" w:rsidRDefault="00A91707" w:rsidP="00A91707">
      <w:pPr>
        <w:pStyle w:val="BodyTextIndent2"/>
        <w:tabs>
          <w:tab w:val="left" w:pos="4320"/>
          <w:tab w:val="left" w:pos="5387"/>
        </w:tabs>
        <w:ind w:firstLine="432"/>
        <w:rPr>
          <w:rFonts w:ascii="Times New Roman" w:hAnsi="Times New Roman"/>
          <w:sz w:val="26"/>
          <w:szCs w:val="26"/>
        </w:rPr>
      </w:pPr>
    </w:p>
    <w:p w:rsidR="00A91707" w:rsidRDefault="00A91707" w:rsidP="00A91707">
      <w:pPr>
        <w:pStyle w:val="BodyTextIndent2"/>
        <w:tabs>
          <w:tab w:val="left" w:pos="4320"/>
          <w:tab w:val="left" w:pos="5387"/>
        </w:tabs>
        <w:ind w:firstLine="432"/>
        <w:rPr>
          <w:rFonts w:ascii="Times New Roman" w:hAnsi="Times New Roman"/>
          <w:sz w:val="26"/>
          <w:szCs w:val="26"/>
        </w:rPr>
      </w:pPr>
    </w:p>
    <w:p w:rsidR="00A91707" w:rsidRPr="00A161ED" w:rsidRDefault="00A91707" w:rsidP="00A91707">
      <w:pPr>
        <w:pStyle w:val="BodyTextIndent2"/>
        <w:tabs>
          <w:tab w:val="left" w:pos="4320"/>
          <w:tab w:val="left" w:pos="5387"/>
        </w:tabs>
        <w:ind w:firstLine="432"/>
        <w:rPr>
          <w:rFonts w:ascii="Times New Roman" w:hAnsi="Times New Roman"/>
          <w:sz w:val="26"/>
          <w:szCs w:val="26"/>
        </w:rPr>
      </w:pPr>
    </w:p>
    <w:p w:rsidR="00A91707" w:rsidRPr="00A161ED" w:rsidRDefault="00A91707" w:rsidP="00A91707">
      <w:pPr>
        <w:pStyle w:val="BodyTextIndent2"/>
        <w:tabs>
          <w:tab w:val="left" w:pos="4320"/>
          <w:tab w:val="left" w:pos="5387"/>
        </w:tabs>
        <w:spacing w:before="120"/>
        <w:ind w:firstLine="432"/>
        <w:rPr>
          <w:rFonts w:ascii="Times New Roman" w:hAnsi="Times New Roman"/>
          <w:sz w:val="26"/>
          <w:szCs w:val="26"/>
        </w:rPr>
      </w:pPr>
      <w:r w:rsidRPr="00A161ED">
        <w:rPr>
          <w:rFonts w:ascii="Times New Roman" w:hAnsi="Times New Roman"/>
          <w:sz w:val="26"/>
          <w:szCs w:val="26"/>
        </w:rPr>
        <w:t>(1) Sau khi lập thủ tục cầm cố hợp đồng nhận thầu, người nhận thầu chuyển giao hợp đồng cho NH</w:t>
      </w:r>
    </w:p>
    <w:p w:rsidR="00A91707" w:rsidRPr="00A161ED" w:rsidRDefault="00A91707" w:rsidP="00A91707">
      <w:pPr>
        <w:pStyle w:val="BodyTextIndent2"/>
        <w:tabs>
          <w:tab w:val="left" w:pos="4320"/>
          <w:tab w:val="left" w:pos="5387"/>
        </w:tabs>
        <w:spacing w:before="120"/>
        <w:ind w:firstLine="432"/>
        <w:rPr>
          <w:rFonts w:ascii="Times New Roman" w:hAnsi="Times New Roman"/>
          <w:sz w:val="26"/>
          <w:szCs w:val="26"/>
        </w:rPr>
      </w:pPr>
      <w:r w:rsidRPr="00A161ED">
        <w:rPr>
          <w:rFonts w:ascii="Times New Roman" w:hAnsi="Times New Roman"/>
          <w:sz w:val="26"/>
          <w:szCs w:val="26"/>
        </w:rPr>
        <w:t>(2) Thông báo cho bên thanh toán biết để chi trả  trực tiếp cho ngân hàng theo các điều kiện quy định trong hợp đồng</w:t>
      </w:r>
    </w:p>
    <w:p w:rsidR="00A91707" w:rsidRPr="00A161ED" w:rsidRDefault="00A91707" w:rsidP="00A91707">
      <w:pPr>
        <w:pStyle w:val="BodyTextIndent2"/>
        <w:tabs>
          <w:tab w:val="left" w:pos="4320"/>
          <w:tab w:val="left" w:pos="5387"/>
        </w:tabs>
        <w:spacing w:before="120"/>
        <w:ind w:firstLine="432"/>
        <w:rPr>
          <w:rFonts w:ascii="Times New Roman" w:hAnsi="Times New Roman"/>
          <w:sz w:val="26"/>
          <w:szCs w:val="26"/>
        </w:rPr>
      </w:pPr>
      <w:r w:rsidRPr="00A161ED">
        <w:rPr>
          <w:rFonts w:ascii="Times New Roman" w:hAnsi="Times New Roman"/>
          <w:sz w:val="26"/>
          <w:szCs w:val="26"/>
        </w:rPr>
        <w:t>(3) Ngân hàng cấp tiền vay cho người nhận thầu</w:t>
      </w:r>
    </w:p>
    <w:p w:rsidR="00A91707" w:rsidRPr="00A161ED" w:rsidRDefault="00A91707" w:rsidP="00A91707">
      <w:pPr>
        <w:pStyle w:val="BodyTextIndent2"/>
        <w:tabs>
          <w:tab w:val="left" w:pos="4320"/>
          <w:tab w:val="left" w:pos="5387"/>
        </w:tabs>
        <w:spacing w:before="120"/>
        <w:ind w:firstLine="432"/>
        <w:rPr>
          <w:rFonts w:ascii="Times New Roman" w:hAnsi="Times New Roman"/>
          <w:sz w:val="26"/>
          <w:szCs w:val="26"/>
        </w:rPr>
      </w:pPr>
      <w:r w:rsidRPr="00A161ED">
        <w:rPr>
          <w:rFonts w:ascii="Times New Roman" w:hAnsi="Times New Roman"/>
          <w:sz w:val="26"/>
          <w:szCs w:val="26"/>
        </w:rPr>
        <w:t>(4) Trả tiền về việc thực hiện hợp đồng trực tiếp cho ngân hàng</w:t>
      </w:r>
    </w:p>
    <w:p w:rsidR="00A91707" w:rsidRPr="00A161ED" w:rsidRDefault="00A91707" w:rsidP="00A91707">
      <w:pPr>
        <w:pStyle w:val="BodyTextIndent2"/>
        <w:tabs>
          <w:tab w:val="left" w:pos="4320"/>
          <w:tab w:val="left" w:pos="5387"/>
        </w:tabs>
        <w:spacing w:before="120"/>
        <w:ind w:firstLine="432"/>
        <w:rPr>
          <w:rFonts w:ascii="Times New Roman" w:hAnsi="Times New Roman"/>
          <w:sz w:val="26"/>
          <w:szCs w:val="26"/>
        </w:rPr>
      </w:pPr>
      <w:r w:rsidRPr="00A161ED">
        <w:rPr>
          <w:rFonts w:ascii="Times New Roman" w:hAnsi="Times New Roman"/>
          <w:sz w:val="26"/>
          <w:szCs w:val="26"/>
        </w:rPr>
        <w:t>(5) Định kỳ hay kết thúc hợp đồng, ngân hàng  và người nhận thầu đối chiếu các khoản tín dụng và khoản thanh toán</w:t>
      </w:r>
    </w:p>
    <w:p w:rsidR="00A91707" w:rsidRPr="00A161ED" w:rsidRDefault="00A91707" w:rsidP="00A91707">
      <w:pPr>
        <w:pStyle w:val="BodyTextIndent2"/>
        <w:tabs>
          <w:tab w:val="left" w:pos="720"/>
        </w:tabs>
        <w:spacing w:before="120"/>
        <w:ind w:firstLine="432"/>
        <w:rPr>
          <w:rFonts w:ascii="Times New Roman" w:hAnsi="Times New Roman"/>
          <w:sz w:val="26"/>
          <w:szCs w:val="26"/>
        </w:rPr>
      </w:pPr>
      <w:r w:rsidRPr="00A161ED">
        <w:rPr>
          <w:rFonts w:ascii="Times New Roman" w:hAnsi="Times New Roman"/>
          <w:sz w:val="26"/>
          <w:szCs w:val="26"/>
        </w:rPr>
        <w:tab/>
        <w:t>(6). Bảo đảm bằng hợp đồng bảo hiểm nhân thọ</w:t>
      </w:r>
    </w:p>
    <w:p w:rsidR="00A91707" w:rsidRPr="00A161ED" w:rsidRDefault="00A91707" w:rsidP="00A91707">
      <w:pPr>
        <w:pStyle w:val="BodyTextIndent2"/>
        <w:spacing w:before="120"/>
        <w:rPr>
          <w:rFonts w:ascii="Times New Roman" w:hAnsi="Times New Roman"/>
          <w:sz w:val="26"/>
          <w:szCs w:val="26"/>
        </w:rPr>
      </w:pPr>
      <w:r w:rsidRPr="00A161ED">
        <w:rPr>
          <w:rFonts w:ascii="Times New Roman" w:hAnsi="Times New Roman"/>
          <w:sz w:val="26"/>
          <w:szCs w:val="26"/>
        </w:rPr>
        <w:t>(7). Bảo đảm bằng các khoản phải thu</w:t>
      </w:r>
    </w:p>
    <w:p w:rsidR="00A91707" w:rsidRPr="00A161ED" w:rsidRDefault="00A91707" w:rsidP="00A91707">
      <w:pPr>
        <w:pStyle w:val="BodyTextIndent2"/>
        <w:spacing w:before="120"/>
        <w:rPr>
          <w:rFonts w:ascii="Times New Roman" w:hAnsi="Times New Roman"/>
          <w:sz w:val="26"/>
          <w:szCs w:val="26"/>
        </w:rPr>
      </w:pPr>
      <w:r w:rsidRPr="00A161ED">
        <w:rPr>
          <w:rFonts w:ascii="Times New Roman" w:hAnsi="Times New Roman"/>
          <w:sz w:val="26"/>
          <w:szCs w:val="26"/>
        </w:rPr>
        <w:t>(8). Bảo đảm bằng thương phiếu</w:t>
      </w:r>
    </w:p>
    <w:p w:rsidR="00A91707" w:rsidRPr="00A12167" w:rsidRDefault="00A91707" w:rsidP="00A12167">
      <w:pPr>
        <w:pStyle w:val="ListBullet2"/>
      </w:pPr>
      <w:r w:rsidRPr="00A12167">
        <w:t xml:space="preserve"> Hình thức bảo lãnh</w:t>
      </w:r>
      <w:r w:rsidRPr="00A12167">
        <w:tab/>
      </w:r>
    </w:p>
    <w:p w:rsidR="00A91707" w:rsidRPr="00A161ED" w:rsidRDefault="00A91707" w:rsidP="00A91707">
      <w:pPr>
        <w:tabs>
          <w:tab w:val="num" w:pos="0"/>
        </w:tabs>
        <w:spacing w:before="120"/>
        <w:ind w:firstLine="432"/>
        <w:rPr>
          <w:rFonts w:ascii="Times New Roman" w:hAnsi="Times New Roman"/>
          <w:sz w:val="26"/>
          <w:szCs w:val="26"/>
        </w:rPr>
      </w:pPr>
      <w:r>
        <w:rPr>
          <w:rFonts w:ascii="Times New Roman" w:hAnsi="Times New Roman"/>
          <w:sz w:val="26"/>
          <w:szCs w:val="26"/>
        </w:rPr>
        <w:tab/>
        <w:t>Trong trường hợp người đi</w:t>
      </w:r>
      <w:r w:rsidRPr="00A161ED">
        <w:rPr>
          <w:rFonts w:ascii="Times New Roman" w:hAnsi="Times New Roman"/>
          <w:sz w:val="26"/>
          <w:szCs w:val="26"/>
        </w:rPr>
        <w:t xml:space="preserve"> vay không có tài sản cầm cố , thế chấp đòi hỏi phảI yêu cầu một bên thứ ba đứng ra bảo lãnh nghĩa vụ trả nợ. Ngoài ra trong một số trường hợp, việc cầm cố, thế chấp tài sản đó không an toàn hay an toàn thấp, ngân hàng yêu cầu người đi vay phảI có bảo lãnh.  Bảo lãnh là việc một pháp nhân hay thể nhân đem tài sản, </w:t>
      </w:r>
      <w:r w:rsidRPr="00A161ED">
        <w:rPr>
          <w:rFonts w:ascii="Times New Roman" w:hAnsi="Times New Roman"/>
          <w:sz w:val="26"/>
          <w:szCs w:val="26"/>
        </w:rPr>
        <w:lastRenderedPageBreak/>
        <w:t>tiền bạc và uy tín của mình để bảo đảm và cam kết với người cho vay sẽ thực hiện nghĩa vụ thay cho người đi vay nếu người đi vay không trả được nợ cho người cho vay khi đến hạn. Trong nghiệp vụ bảo lãnh gồm các bên sau:</w:t>
      </w:r>
    </w:p>
    <w:p w:rsidR="00A91707" w:rsidRPr="00A161ED" w:rsidRDefault="00A91707" w:rsidP="00A91707">
      <w:pPr>
        <w:tabs>
          <w:tab w:val="num" w:pos="0"/>
        </w:tabs>
        <w:spacing w:before="120"/>
        <w:ind w:firstLine="432"/>
        <w:rPr>
          <w:rFonts w:ascii="Times New Roman" w:hAnsi="Times New Roman"/>
          <w:sz w:val="26"/>
          <w:szCs w:val="26"/>
        </w:rPr>
      </w:pPr>
      <w:r w:rsidRPr="00A161ED">
        <w:rPr>
          <w:rFonts w:ascii="Times New Roman" w:hAnsi="Times New Roman"/>
          <w:sz w:val="26"/>
          <w:szCs w:val="26"/>
        </w:rPr>
        <w:tab/>
        <w:t>+ Bên bảo lãnh: Là pháp nhân hoặc thể nhân theo yêu cầu của người đi vay sẽ đưa tài sản thuộc sở hữu của mình để bảo đảm và nhận trách nhiệm thay cho người đi vay nếu người đi vay không trả được nợ cho ngân hàng.</w:t>
      </w:r>
    </w:p>
    <w:p w:rsidR="00A91707" w:rsidRPr="00A161ED" w:rsidRDefault="00A91707" w:rsidP="00A91707">
      <w:pPr>
        <w:tabs>
          <w:tab w:val="num" w:pos="0"/>
        </w:tabs>
        <w:spacing w:before="120"/>
        <w:ind w:firstLine="432"/>
        <w:rPr>
          <w:rFonts w:ascii="Times New Roman" w:hAnsi="Times New Roman"/>
          <w:sz w:val="26"/>
          <w:szCs w:val="26"/>
        </w:rPr>
      </w:pPr>
      <w:r w:rsidRPr="00A161ED">
        <w:rPr>
          <w:rFonts w:ascii="Times New Roman" w:hAnsi="Times New Roman"/>
          <w:sz w:val="26"/>
          <w:szCs w:val="26"/>
        </w:rPr>
        <w:tab/>
        <w:t xml:space="preserve">+ Bên được bảo lãnh: Là công ty, xí nghiệp, tổ chức kinh tế hay cá nhân có nhu cầu vay vốn ngân hàng nhưng không đủ năng lực tài chính và không có tài sản để bảo đảm cho khoản vốn vay. </w:t>
      </w:r>
    </w:p>
    <w:p w:rsidR="00A91707" w:rsidRPr="00A161ED" w:rsidRDefault="00A91707" w:rsidP="00A91707">
      <w:pPr>
        <w:tabs>
          <w:tab w:val="num" w:pos="0"/>
        </w:tabs>
        <w:spacing w:before="120"/>
        <w:ind w:firstLine="432"/>
        <w:rPr>
          <w:rFonts w:ascii="Times New Roman" w:hAnsi="Times New Roman"/>
          <w:sz w:val="26"/>
          <w:szCs w:val="26"/>
        </w:rPr>
      </w:pPr>
      <w:r w:rsidRPr="00A161ED">
        <w:rPr>
          <w:rFonts w:ascii="Times New Roman" w:hAnsi="Times New Roman"/>
          <w:sz w:val="26"/>
          <w:szCs w:val="26"/>
        </w:rPr>
        <w:tab/>
        <w:t>+ Bên nhận bảo lãnh: Đó là người cho vay (ngân hàng thương mại, công ty tài chính).</w:t>
      </w:r>
    </w:p>
    <w:p w:rsidR="00A91707" w:rsidRPr="00A161ED" w:rsidRDefault="00A91707" w:rsidP="00A91707">
      <w:pPr>
        <w:pStyle w:val="BodyTextIndent2"/>
        <w:spacing w:before="120"/>
        <w:rPr>
          <w:rFonts w:ascii="Times New Roman" w:hAnsi="Times New Roman"/>
          <w:sz w:val="26"/>
          <w:szCs w:val="26"/>
        </w:rPr>
      </w:pPr>
      <w:r w:rsidRPr="00A161ED">
        <w:rPr>
          <w:rFonts w:ascii="Times New Roman" w:hAnsi="Times New Roman"/>
          <w:noProof/>
          <w:sz w:val="26"/>
          <w:szCs w:val="26"/>
          <w:lang w:val="nl-NL"/>
        </w:rPr>
        <w:pict>
          <v:group id="_x0000_s1043" style="position:absolute;left:0;text-align:left;margin-left:93.6pt;margin-top:56.05pt;width:285.2pt;height:2in;z-index:251661312" coordorigin="2880,1493" coordsize="5704,2936">
            <v:group id="_x0000_s1044" style="position:absolute;left:2880;top:1694;width:5616;height:2735" coordorigin="2880,7270" coordsize="5616,2735">
              <v:shape id="_x0000_s1045" type="#_x0000_t202" style="position:absolute;left:2880;top:7270;width:1872;height:864">
                <v:textbox style="mso-next-textbox:#_x0000_s1045">
                  <w:txbxContent>
                    <w:p w:rsidR="00A91707" w:rsidRDefault="00A91707" w:rsidP="00A91707">
                      <w:pPr>
                        <w:ind w:firstLine="0"/>
                        <w:rPr>
                          <w:rFonts w:ascii="Times New Roman" w:hAnsi="Times New Roman"/>
                          <w:lang w:val="nl-NL"/>
                        </w:rPr>
                      </w:pPr>
                      <w:r>
                        <w:rPr>
                          <w:rFonts w:ascii="Times New Roman" w:hAnsi="Times New Roman"/>
                          <w:lang w:val="nl-NL"/>
                        </w:rPr>
                        <w:t>Người đi vay</w:t>
                      </w:r>
                    </w:p>
                  </w:txbxContent>
                </v:textbox>
              </v:shape>
              <v:shape id="_x0000_s1046" type="#_x0000_t202" style="position:absolute;left:6624;top:7270;width:1872;height:864">
                <v:textbox style="mso-next-textbox:#_x0000_s1046">
                  <w:txbxContent>
                    <w:p w:rsidR="00A91707" w:rsidRDefault="00A91707" w:rsidP="00A91707">
                      <w:pPr>
                        <w:pStyle w:val="BodyText3"/>
                        <w:rPr>
                          <w:szCs w:val="24"/>
                          <w:lang w:val="nl-NL"/>
                        </w:rPr>
                      </w:pPr>
                      <w:r>
                        <w:rPr>
                          <w:szCs w:val="24"/>
                          <w:lang w:val="nl-NL"/>
                        </w:rPr>
                        <w:t>Người bảo lãnh</w:t>
                      </w:r>
                    </w:p>
                  </w:txbxContent>
                </v:textbox>
              </v:shape>
              <v:shape id="_x0000_s1047" type="#_x0000_t202" style="position:absolute;left:4752;top:9285;width:1872;height:720">
                <v:textbox style="mso-next-textbox:#_x0000_s1047">
                  <w:txbxContent>
                    <w:p w:rsidR="00A91707" w:rsidRDefault="00A91707" w:rsidP="00A91707">
                      <w:pPr>
                        <w:ind w:firstLine="0"/>
                        <w:rPr>
                          <w:rFonts w:ascii="Times New Roman" w:hAnsi="Times New Roman"/>
                          <w:lang w:val="nl-NL"/>
                        </w:rPr>
                      </w:pPr>
                      <w:r>
                        <w:rPr>
                          <w:rFonts w:ascii="Times New Roman" w:hAnsi="Times New Roman"/>
                          <w:lang w:val="nl-NL"/>
                        </w:rPr>
                        <w:t>Ngân hàng</w:t>
                      </w:r>
                    </w:p>
                  </w:txbxContent>
                </v:textbox>
              </v:shape>
              <v:line id="_x0000_s1048" style="position:absolute;flip:x" from="4032,9574" to="4752,9574"/>
              <v:line id="_x0000_s1049" style="position:absolute;flip:y" from="4032,8133" to="4032,9573">
                <v:stroke endarrow="block"/>
              </v:line>
              <v:line id="_x0000_s1050" style="position:absolute" from="3600,8133" to="3600,9717"/>
              <v:line id="_x0000_s1051" style="position:absolute" from="3600,9718" to="4752,9718">
                <v:stroke endarrow="block"/>
              </v:line>
              <v:line id="_x0000_s1052" style="position:absolute" from="4752,7557" to="6624,7557">
                <v:stroke startarrow="block" endarrow="block"/>
              </v:line>
              <v:line id="_x0000_s1053" style="position:absolute" from="4752,7846" to="6624,7846">
                <v:stroke endarrow="block"/>
              </v:line>
              <v:line id="_x0000_s1054" style="position:absolute" from="6624,9574" to="7344,9574"/>
              <v:line id="_x0000_s1055" style="position:absolute;flip:y" from="7344,8133" to="7344,9573">
                <v:stroke endarrow="block"/>
              </v:line>
              <v:line id="_x0000_s1056" style="position:absolute" from="7920,8133" to="7920,9861"/>
              <v:line id="_x0000_s1057" style="position:absolute;flip:x" from="6624,9862" to="7920,9862">
                <v:stroke endarrow="block"/>
              </v:line>
            </v:group>
            <v:shape id="_x0000_s1058" type="#_x0000_t202" style="position:absolute;left:5472;top:1493;width:651;height:432" stroked="f">
              <v:stroke dashstyle="1 1" endcap="round"/>
              <v:textbox style="mso-next-textbox:#_x0000_s1058">
                <w:txbxContent>
                  <w:p w:rsidR="00A91707" w:rsidRDefault="00A91707" w:rsidP="00A91707">
                    <w:pPr>
                      <w:jc w:val="center"/>
                      <w:rPr>
                        <w:rFonts w:ascii="Times New Roman" w:hAnsi="Times New Roman"/>
                        <w:lang w:val="nl-NL"/>
                      </w:rPr>
                    </w:pPr>
                    <w:r>
                      <w:rPr>
                        <w:rFonts w:ascii="Times New Roman" w:hAnsi="Times New Roman"/>
                        <w:lang w:val="nl-NL"/>
                      </w:rPr>
                      <w:t>(1)</w:t>
                    </w:r>
                  </w:p>
                </w:txbxContent>
              </v:textbox>
            </v:shape>
            <v:shape id="_x0000_s1059" type="#_x0000_t202" style="position:absolute;left:5328;top:2357;width:651;height:432" stroked="f">
              <v:stroke dashstyle="1 1" endcap="round"/>
              <v:textbox style="mso-next-textbox:#_x0000_s1059">
                <w:txbxContent>
                  <w:p w:rsidR="00A91707" w:rsidRDefault="00A91707" w:rsidP="00A91707">
                    <w:pPr>
                      <w:jc w:val="center"/>
                      <w:rPr>
                        <w:rFonts w:ascii="Times New Roman" w:hAnsi="Times New Roman"/>
                        <w:lang w:val="nl-NL"/>
                      </w:rPr>
                    </w:pPr>
                    <w:r>
                      <w:rPr>
                        <w:rFonts w:ascii="Times New Roman" w:hAnsi="Times New Roman"/>
                        <w:lang w:val="nl-NL"/>
                      </w:rPr>
                      <w:t>(6)</w:t>
                    </w:r>
                  </w:p>
                </w:txbxContent>
              </v:textbox>
            </v:shape>
            <v:shape id="_x0000_s1060" type="#_x0000_t202" style="position:absolute;left:2892;top:3084;width:651;height:432" stroked="f">
              <v:stroke dashstyle="1 1" endcap="round"/>
              <v:textbox style="mso-next-textbox:#_x0000_s1060">
                <w:txbxContent>
                  <w:p w:rsidR="00A91707" w:rsidRDefault="00A91707" w:rsidP="00A91707">
                    <w:pPr>
                      <w:jc w:val="center"/>
                      <w:rPr>
                        <w:rFonts w:ascii="Times New Roman" w:hAnsi="Times New Roman"/>
                        <w:lang w:val="nl-NL"/>
                      </w:rPr>
                    </w:pPr>
                    <w:r>
                      <w:rPr>
                        <w:rFonts w:ascii="Times New Roman" w:hAnsi="Times New Roman"/>
                        <w:lang w:val="nl-NL"/>
                      </w:rPr>
                      <w:t>(3)</w:t>
                    </w:r>
                  </w:p>
                </w:txbxContent>
              </v:textbox>
            </v:shape>
            <v:shape id="_x0000_s1061" type="#_x0000_t202" style="position:absolute;left:6698;top:2989;width:651;height:432" stroked="f">
              <v:stroke dashstyle="1 1" endcap="round"/>
              <v:textbox style="mso-next-textbox:#_x0000_s1061">
                <w:txbxContent>
                  <w:p w:rsidR="00A91707" w:rsidRDefault="00A91707" w:rsidP="00A91707">
                    <w:pPr>
                      <w:jc w:val="center"/>
                      <w:rPr>
                        <w:rFonts w:ascii="Times New Roman" w:hAnsi="Times New Roman"/>
                        <w:lang w:val="nl-NL"/>
                      </w:rPr>
                    </w:pPr>
                    <w:r>
                      <w:rPr>
                        <w:rFonts w:ascii="Times New Roman" w:hAnsi="Times New Roman"/>
                        <w:lang w:val="nl-NL"/>
                      </w:rPr>
                      <w:t>(4)</w:t>
                    </w:r>
                  </w:p>
                </w:txbxContent>
              </v:textbox>
            </v:shape>
            <v:shape id="_x0000_s1062" type="#_x0000_t202" style="position:absolute;left:7933;top:3022;width:651;height:432" stroked="f">
              <v:stroke dashstyle="1 1" endcap="round"/>
              <v:textbox style="mso-next-textbox:#_x0000_s1062">
                <w:txbxContent>
                  <w:p w:rsidR="00A91707" w:rsidRDefault="00A91707" w:rsidP="00A91707">
                    <w:pPr>
                      <w:jc w:val="center"/>
                      <w:rPr>
                        <w:rFonts w:ascii="Times New Roman" w:hAnsi="Times New Roman"/>
                        <w:lang w:val="nl-NL"/>
                      </w:rPr>
                    </w:pPr>
                    <w:r>
                      <w:rPr>
                        <w:rFonts w:ascii="Times New Roman" w:hAnsi="Times New Roman"/>
                        <w:lang w:val="nl-NL"/>
                      </w:rPr>
                      <w:t>(5)</w:t>
                    </w:r>
                  </w:p>
                </w:txbxContent>
              </v:textbox>
            </v:shape>
            <v:shape id="_x0000_s1063" type="#_x0000_t202" style="position:absolute;left:4050;top:3077;width:651;height:432" stroked="f">
              <v:stroke dashstyle="1 1" endcap="round"/>
              <v:textbox style="mso-next-textbox:#_x0000_s1063">
                <w:txbxContent>
                  <w:p w:rsidR="00A91707" w:rsidRDefault="00A91707" w:rsidP="00A91707">
                    <w:pPr>
                      <w:jc w:val="center"/>
                      <w:rPr>
                        <w:rFonts w:ascii="Times New Roman" w:hAnsi="Times New Roman"/>
                        <w:lang w:val="nl-NL"/>
                      </w:rPr>
                    </w:pPr>
                    <w:r>
                      <w:rPr>
                        <w:rFonts w:ascii="Times New Roman" w:hAnsi="Times New Roman"/>
                        <w:lang w:val="nl-NL"/>
                      </w:rPr>
                      <w:t>(2)</w:t>
                    </w:r>
                  </w:p>
                </w:txbxContent>
              </v:textbox>
            </v:shape>
          </v:group>
        </w:pict>
      </w:r>
      <w:r w:rsidRPr="00A161ED">
        <w:rPr>
          <w:rFonts w:ascii="Times New Roman" w:hAnsi="Times New Roman"/>
          <w:sz w:val="26"/>
          <w:szCs w:val="26"/>
        </w:rPr>
        <w:t>Điều kiện đối với người bảo lãnh: Phải có đủ năng lực pháp lý và khả năng trả nợ thay cho khách hàng, có đủ năng lực tài chính, uy tín hay tài sản dùng để bảo đảm nợ vay. Sơ đồ khái quát của hình thức bảo lãnh.</w:t>
      </w:r>
    </w:p>
    <w:p w:rsidR="00A91707" w:rsidRPr="00A161ED" w:rsidRDefault="00A91707" w:rsidP="00A91707">
      <w:pPr>
        <w:pStyle w:val="BodyTextIndent2"/>
        <w:rPr>
          <w:rFonts w:ascii="Times New Roman" w:hAnsi="Times New Roman"/>
          <w:sz w:val="26"/>
          <w:szCs w:val="26"/>
        </w:rPr>
      </w:pPr>
    </w:p>
    <w:p w:rsidR="00A91707" w:rsidRPr="00A161ED" w:rsidRDefault="00A91707" w:rsidP="00A91707">
      <w:pPr>
        <w:tabs>
          <w:tab w:val="num" w:pos="0"/>
        </w:tabs>
        <w:ind w:firstLine="432"/>
        <w:rPr>
          <w:rFonts w:ascii="Times New Roman" w:hAnsi="Times New Roman"/>
          <w:sz w:val="26"/>
          <w:szCs w:val="26"/>
        </w:rPr>
      </w:pPr>
    </w:p>
    <w:p w:rsidR="00A91707" w:rsidRPr="00A161ED" w:rsidRDefault="00A91707" w:rsidP="00A91707">
      <w:pPr>
        <w:pStyle w:val="BodyTextIndent2"/>
        <w:tabs>
          <w:tab w:val="left" w:pos="5387"/>
        </w:tabs>
        <w:ind w:firstLine="432"/>
        <w:rPr>
          <w:rFonts w:ascii="Times New Roman" w:hAnsi="Times New Roman"/>
          <w:sz w:val="26"/>
          <w:szCs w:val="26"/>
        </w:rPr>
      </w:pPr>
    </w:p>
    <w:p w:rsidR="00A91707" w:rsidRPr="00A161ED" w:rsidRDefault="00A91707" w:rsidP="00A91707">
      <w:pPr>
        <w:pStyle w:val="BodyTextIndent2"/>
        <w:tabs>
          <w:tab w:val="left" w:pos="5387"/>
        </w:tabs>
        <w:ind w:firstLine="432"/>
        <w:rPr>
          <w:rFonts w:ascii="Times New Roman" w:hAnsi="Times New Roman"/>
          <w:sz w:val="26"/>
          <w:szCs w:val="26"/>
        </w:rPr>
      </w:pPr>
    </w:p>
    <w:p w:rsidR="00A91707" w:rsidRPr="00A161ED" w:rsidRDefault="00A91707" w:rsidP="00A91707">
      <w:pPr>
        <w:pStyle w:val="BodyTextIndent2"/>
        <w:tabs>
          <w:tab w:val="left" w:pos="5387"/>
        </w:tabs>
        <w:ind w:firstLine="432"/>
        <w:rPr>
          <w:rFonts w:ascii="Times New Roman" w:hAnsi="Times New Roman"/>
          <w:sz w:val="26"/>
          <w:szCs w:val="26"/>
        </w:rPr>
      </w:pPr>
    </w:p>
    <w:p w:rsidR="00A91707" w:rsidRPr="00A161ED" w:rsidRDefault="00A91707" w:rsidP="00A91707">
      <w:pPr>
        <w:pStyle w:val="BodyTextIndent2"/>
        <w:tabs>
          <w:tab w:val="left" w:pos="5387"/>
        </w:tabs>
        <w:ind w:firstLine="432"/>
        <w:rPr>
          <w:rFonts w:ascii="Times New Roman" w:hAnsi="Times New Roman"/>
          <w:sz w:val="26"/>
          <w:szCs w:val="26"/>
        </w:rPr>
      </w:pPr>
    </w:p>
    <w:p w:rsidR="00A91707" w:rsidRDefault="00A91707" w:rsidP="00A91707">
      <w:pPr>
        <w:pStyle w:val="BodyTextIndent2"/>
        <w:tabs>
          <w:tab w:val="left" w:pos="4320"/>
          <w:tab w:val="left" w:pos="5387"/>
        </w:tabs>
        <w:ind w:firstLine="432"/>
        <w:rPr>
          <w:rFonts w:ascii="Times New Roman" w:hAnsi="Times New Roman"/>
          <w:sz w:val="26"/>
          <w:szCs w:val="26"/>
        </w:rPr>
      </w:pPr>
    </w:p>
    <w:p w:rsidR="00A91707" w:rsidRDefault="00A91707" w:rsidP="00A91707">
      <w:pPr>
        <w:pStyle w:val="BodyTextIndent2"/>
        <w:tabs>
          <w:tab w:val="left" w:pos="4320"/>
          <w:tab w:val="left" w:pos="5387"/>
        </w:tabs>
        <w:ind w:firstLine="432"/>
        <w:rPr>
          <w:rFonts w:ascii="Times New Roman" w:hAnsi="Times New Roman"/>
          <w:sz w:val="26"/>
          <w:szCs w:val="26"/>
        </w:rPr>
      </w:pPr>
    </w:p>
    <w:p w:rsidR="00A91707" w:rsidRDefault="00A91707" w:rsidP="00A91707">
      <w:pPr>
        <w:pStyle w:val="BodyTextIndent2"/>
        <w:tabs>
          <w:tab w:val="left" w:pos="4320"/>
          <w:tab w:val="left" w:pos="5387"/>
        </w:tabs>
        <w:ind w:firstLine="432"/>
        <w:rPr>
          <w:rFonts w:ascii="Times New Roman" w:hAnsi="Times New Roman"/>
          <w:sz w:val="26"/>
          <w:szCs w:val="26"/>
        </w:rPr>
      </w:pPr>
    </w:p>
    <w:p w:rsidR="00A91707" w:rsidRDefault="00A91707" w:rsidP="00A91707">
      <w:pPr>
        <w:pStyle w:val="BodyTextIndent2"/>
        <w:tabs>
          <w:tab w:val="left" w:pos="4320"/>
          <w:tab w:val="left" w:pos="5387"/>
        </w:tabs>
        <w:ind w:firstLine="432"/>
        <w:rPr>
          <w:rFonts w:ascii="Times New Roman" w:hAnsi="Times New Roman"/>
          <w:sz w:val="26"/>
          <w:szCs w:val="26"/>
        </w:rPr>
      </w:pPr>
    </w:p>
    <w:p w:rsidR="00A91707" w:rsidRPr="00A161ED" w:rsidRDefault="00A91707" w:rsidP="00A91707">
      <w:pPr>
        <w:pStyle w:val="BodyTextIndent2"/>
        <w:tabs>
          <w:tab w:val="left" w:pos="4320"/>
          <w:tab w:val="left" w:pos="5387"/>
        </w:tabs>
        <w:ind w:firstLine="432"/>
        <w:rPr>
          <w:rFonts w:ascii="Times New Roman" w:hAnsi="Times New Roman"/>
          <w:sz w:val="26"/>
          <w:szCs w:val="26"/>
        </w:rPr>
      </w:pPr>
    </w:p>
    <w:p w:rsidR="00A91707" w:rsidRPr="00A161ED" w:rsidRDefault="00A91707" w:rsidP="00A91707">
      <w:pPr>
        <w:pStyle w:val="BodyTextIndent2"/>
        <w:tabs>
          <w:tab w:val="left" w:pos="4320"/>
          <w:tab w:val="left" w:pos="5387"/>
        </w:tabs>
        <w:ind w:firstLine="432"/>
        <w:rPr>
          <w:rFonts w:ascii="Times New Roman" w:hAnsi="Times New Roman"/>
          <w:sz w:val="26"/>
          <w:szCs w:val="26"/>
        </w:rPr>
      </w:pPr>
      <w:r w:rsidRPr="00A161ED">
        <w:rPr>
          <w:rFonts w:ascii="Times New Roman" w:hAnsi="Times New Roman"/>
          <w:sz w:val="26"/>
          <w:szCs w:val="26"/>
        </w:rPr>
        <w:t>(1): Hợp đồng bảo lãnh.</w:t>
      </w:r>
      <w:r w:rsidRPr="00A161ED">
        <w:rPr>
          <w:rFonts w:ascii="Times New Roman" w:hAnsi="Times New Roman"/>
          <w:sz w:val="26"/>
          <w:szCs w:val="26"/>
        </w:rPr>
        <w:tab/>
        <w:t>(4): Yêu cầu thanh toán.</w:t>
      </w:r>
    </w:p>
    <w:p w:rsidR="00A91707" w:rsidRPr="00A161ED" w:rsidRDefault="00A91707" w:rsidP="00A91707">
      <w:pPr>
        <w:pStyle w:val="BodyTextIndent2"/>
        <w:tabs>
          <w:tab w:val="left" w:pos="4320"/>
          <w:tab w:val="left" w:pos="5387"/>
        </w:tabs>
        <w:ind w:firstLine="432"/>
        <w:rPr>
          <w:rFonts w:ascii="Times New Roman" w:hAnsi="Times New Roman"/>
          <w:sz w:val="26"/>
          <w:szCs w:val="26"/>
        </w:rPr>
      </w:pPr>
      <w:r w:rsidRPr="00A161ED">
        <w:rPr>
          <w:rFonts w:ascii="Times New Roman" w:hAnsi="Times New Roman"/>
          <w:sz w:val="26"/>
          <w:szCs w:val="26"/>
        </w:rPr>
        <w:t>(2): Ngân hàng cấp tín dụng.</w:t>
      </w:r>
      <w:r w:rsidRPr="00A161ED">
        <w:rPr>
          <w:rFonts w:ascii="Times New Roman" w:hAnsi="Times New Roman"/>
          <w:sz w:val="26"/>
          <w:szCs w:val="26"/>
        </w:rPr>
        <w:tab/>
        <w:t>(5): Thanh toán cho ngân hàng.</w:t>
      </w:r>
    </w:p>
    <w:p w:rsidR="00A91707" w:rsidRPr="00A161ED" w:rsidRDefault="00A91707" w:rsidP="00A91707">
      <w:pPr>
        <w:pStyle w:val="BodyTextIndent2"/>
        <w:tabs>
          <w:tab w:val="left" w:pos="4320"/>
          <w:tab w:val="left" w:pos="5387"/>
        </w:tabs>
        <w:ind w:firstLine="432"/>
        <w:rPr>
          <w:rFonts w:ascii="Times New Roman" w:hAnsi="Times New Roman"/>
          <w:sz w:val="26"/>
          <w:szCs w:val="26"/>
        </w:rPr>
      </w:pPr>
      <w:r w:rsidRPr="00A161ED">
        <w:rPr>
          <w:rFonts w:ascii="Times New Roman" w:hAnsi="Times New Roman"/>
          <w:sz w:val="26"/>
          <w:szCs w:val="26"/>
        </w:rPr>
        <w:t>(3): Người vay không trả được nợ</w:t>
      </w:r>
      <w:r w:rsidRPr="00A161ED">
        <w:rPr>
          <w:rFonts w:ascii="Times New Roman" w:hAnsi="Times New Roman"/>
          <w:sz w:val="26"/>
          <w:szCs w:val="26"/>
        </w:rPr>
        <w:tab/>
        <w:t xml:space="preserve">(6): Bồi thường bảo lãnh </w:t>
      </w:r>
    </w:p>
    <w:p w:rsidR="00A91707" w:rsidRPr="007C2611" w:rsidRDefault="00A91707" w:rsidP="00A91707">
      <w:pPr>
        <w:pStyle w:val="BodyTextIndent2"/>
        <w:rPr>
          <w:rFonts w:ascii="Times New Roman" w:hAnsi="Times New Roman"/>
          <w:i/>
          <w:sz w:val="26"/>
          <w:szCs w:val="26"/>
        </w:rPr>
      </w:pPr>
      <w:r w:rsidRPr="007C2611">
        <w:rPr>
          <w:rFonts w:ascii="Times New Roman" w:hAnsi="Times New Roman"/>
          <w:i/>
          <w:sz w:val="26"/>
          <w:szCs w:val="26"/>
        </w:rPr>
        <w:t>Trình tự xét duyệt một bảo lãnh:</w:t>
      </w:r>
    </w:p>
    <w:p w:rsidR="00A91707" w:rsidRPr="00A12167" w:rsidRDefault="00A91707" w:rsidP="00A12167">
      <w:pPr>
        <w:pStyle w:val="ListBullet2"/>
      </w:pPr>
      <w:r w:rsidRPr="00A12167">
        <w:t xml:space="preserve"> Xem xét tư cách pháp nhân của người bảo lãnh: Người bảo lãnh phải đủ tư cách pháp nhân và đủ năng lực hành vi, người kí giấy có đủ khả năng tài chính để thực hiện nghĩa vụ bảo lãnh?. Xem xét uy tín và khả năng tài chính của người bảo lãnh. Uy tín của người bảo lãnh thể hiện ở trách nhiệm và sự sòng phẳng trong thanh toán của người bảo lãnh trong suốt quá trình kinh doanh từ trước tới nay. Do đó trong bảo lãnh cần xem xét khả năng tài chính thực tế của người bảo lãnh và chỉ chấp nhận bảo lãnh cho những khoản vốn vay nhỏ hơn nhiều so với khả năng tài chính của người bảo lãnh. Cần xem xét động cơ của người bảo lãnh nhằm lợi ích gì: núp bóng quốc doanh để kinh doanh hay muốn mượn tay ngân hàng để bán tài sản bất hợp pháp?</w:t>
      </w:r>
      <w:r w:rsidR="00A12167">
        <w:t>./.</w:t>
      </w:r>
    </w:p>
    <w:p w:rsidR="00611160" w:rsidRDefault="00611160"/>
    <w:sectPr w:rsidR="00611160" w:rsidSect="006111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91707"/>
    <w:rsid w:val="00001DF0"/>
    <w:rsid w:val="0000254A"/>
    <w:rsid w:val="00004C74"/>
    <w:rsid w:val="00051296"/>
    <w:rsid w:val="0005446C"/>
    <w:rsid w:val="0005695C"/>
    <w:rsid w:val="00064EBC"/>
    <w:rsid w:val="00095F9E"/>
    <w:rsid w:val="000C7230"/>
    <w:rsid w:val="000E22AF"/>
    <w:rsid w:val="000E3261"/>
    <w:rsid w:val="001064BF"/>
    <w:rsid w:val="00111677"/>
    <w:rsid w:val="00134988"/>
    <w:rsid w:val="00135045"/>
    <w:rsid w:val="00137192"/>
    <w:rsid w:val="00140284"/>
    <w:rsid w:val="00156770"/>
    <w:rsid w:val="00162240"/>
    <w:rsid w:val="00177AE2"/>
    <w:rsid w:val="00181540"/>
    <w:rsid w:val="001B622D"/>
    <w:rsid w:val="001C5131"/>
    <w:rsid w:val="001D0E99"/>
    <w:rsid w:val="001F180C"/>
    <w:rsid w:val="00200CE0"/>
    <w:rsid w:val="002051E4"/>
    <w:rsid w:val="00243F29"/>
    <w:rsid w:val="0025745E"/>
    <w:rsid w:val="0027134F"/>
    <w:rsid w:val="002745F1"/>
    <w:rsid w:val="002747B6"/>
    <w:rsid w:val="002756BB"/>
    <w:rsid w:val="00297AEC"/>
    <w:rsid w:val="002D7579"/>
    <w:rsid w:val="002E1003"/>
    <w:rsid w:val="002E2302"/>
    <w:rsid w:val="002F1287"/>
    <w:rsid w:val="002F4BF2"/>
    <w:rsid w:val="00305CA5"/>
    <w:rsid w:val="00306346"/>
    <w:rsid w:val="00330130"/>
    <w:rsid w:val="0034246D"/>
    <w:rsid w:val="003705AB"/>
    <w:rsid w:val="003D410C"/>
    <w:rsid w:val="003E0D1B"/>
    <w:rsid w:val="00401A5F"/>
    <w:rsid w:val="00401DE4"/>
    <w:rsid w:val="00422FDD"/>
    <w:rsid w:val="00431812"/>
    <w:rsid w:val="00442894"/>
    <w:rsid w:val="00442CCD"/>
    <w:rsid w:val="00452A0E"/>
    <w:rsid w:val="004570C1"/>
    <w:rsid w:val="0046474C"/>
    <w:rsid w:val="004B0E99"/>
    <w:rsid w:val="004C78E6"/>
    <w:rsid w:val="004D2C6E"/>
    <w:rsid w:val="004E254F"/>
    <w:rsid w:val="004E75C6"/>
    <w:rsid w:val="004F0CF5"/>
    <w:rsid w:val="00536734"/>
    <w:rsid w:val="005410DD"/>
    <w:rsid w:val="005622FF"/>
    <w:rsid w:val="00575555"/>
    <w:rsid w:val="00577B87"/>
    <w:rsid w:val="0059230D"/>
    <w:rsid w:val="005B3D70"/>
    <w:rsid w:val="005C643D"/>
    <w:rsid w:val="005C75A3"/>
    <w:rsid w:val="005E6509"/>
    <w:rsid w:val="00611160"/>
    <w:rsid w:val="0062348A"/>
    <w:rsid w:val="00650DD7"/>
    <w:rsid w:val="00660BAB"/>
    <w:rsid w:val="00661173"/>
    <w:rsid w:val="00663755"/>
    <w:rsid w:val="006A3F4A"/>
    <w:rsid w:val="006A4DFA"/>
    <w:rsid w:val="006E41EF"/>
    <w:rsid w:val="006F39F3"/>
    <w:rsid w:val="00704543"/>
    <w:rsid w:val="00705601"/>
    <w:rsid w:val="007074D8"/>
    <w:rsid w:val="007138EA"/>
    <w:rsid w:val="0071634B"/>
    <w:rsid w:val="00726BEE"/>
    <w:rsid w:val="0073404D"/>
    <w:rsid w:val="00736CAD"/>
    <w:rsid w:val="007A4017"/>
    <w:rsid w:val="007D1B36"/>
    <w:rsid w:val="007F62A3"/>
    <w:rsid w:val="00847944"/>
    <w:rsid w:val="008505DD"/>
    <w:rsid w:val="00861286"/>
    <w:rsid w:val="00865C77"/>
    <w:rsid w:val="00867384"/>
    <w:rsid w:val="00874816"/>
    <w:rsid w:val="0088297A"/>
    <w:rsid w:val="0088584B"/>
    <w:rsid w:val="00887266"/>
    <w:rsid w:val="008A1B02"/>
    <w:rsid w:val="008A755C"/>
    <w:rsid w:val="008B477B"/>
    <w:rsid w:val="008E5072"/>
    <w:rsid w:val="008F66A0"/>
    <w:rsid w:val="0090373F"/>
    <w:rsid w:val="009203CE"/>
    <w:rsid w:val="00925B75"/>
    <w:rsid w:val="00930C21"/>
    <w:rsid w:val="0095081B"/>
    <w:rsid w:val="00981526"/>
    <w:rsid w:val="00985238"/>
    <w:rsid w:val="009B1D5C"/>
    <w:rsid w:val="00A12167"/>
    <w:rsid w:val="00A164B6"/>
    <w:rsid w:val="00A55E3A"/>
    <w:rsid w:val="00A6647E"/>
    <w:rsid w:val="00A71601"/>
    <w:rsid w:val="00A72773"/>
    <w:rsid w:val="00A83940"/>
    <w:rsid w:val="00A91707"/>
    <w:rsid w:val="00AB60EA"/>
    <w:rsid w:val="00AC2391"/>
    <w:rsid w:val="00AD0950"/>
    <w:rsid w:val="00AF20F4"/>
    <w:rsid w:val="00B140E5"/>
    <w:rsid w:val="00B23C04"/>
    <w:rsid w:val="00B27A6D"/>
    <w:rsid w:val="00B51B2A"/>
    <w:rsid w:val="00B65808"/>
    <w:rsid w:val="00B72867"/>
    <w:rsid w:val="00B731A4"/>
    <w:rsid w:val="00B8280A"/>
    <w:rsid w:val="00B86575"/>
    <w:rsid w:val="00BB1124"/>
    <w:rsid w:val="00BB7F02"/>
    <w:rsid w:val="00BD07A5"/>
    <w:rsid w:val="00BD7228"/>
    <w:rsid w:val="00C01AA7"/>
    <w:rsid w:val="00C03718"/>
    <w:rsid w:val="00C241C8"/>
    <w:rsid w:val="00C46985"/>
    <w:rsid w:val="00C470D5"/>
    <w:rsid w:val="00C6155C"/>
    <w:rsid w:val="00CA61DB"/>
    <w:rsid w:val="00CF4C58"/>
    <w:rsid w:val="00D00E90"/>
    <w:rsid w:val="00D11183"/>
    <w:rsid w:val="00D2435E"/>
    <w:rsid w:val="00D24B94"/>
    <w:rsid w:val="00D25451"/>
    <w:rsid w:val="00D32A85"/>
    <w:rsid w:val="00D37606"/>
    <w:rsid w:val="00D47898"/>
    <w:rsid w:val="00D67A9D"/>
    <w:rsid w:val="00D76095"/>
    <w:rsid w:val="00D77D95"/>
    <w:rsid w:val="00D93B0A"/>
    <w:rsid w:val="00DE1355"/>
    <w:rsid w:val="00DE612A"/>
    <w:rsid w:val="00DF3722"/>
    <w:rsid w:val="00E12CE0"/>
    <w:rsid w:val="00E26C86"/>
    <w:rsid w:val="00E40DED"/>
    <w:rsid w:val="00EB294C"/>
    <w:rsid w:val="00EB7750"/>
    <w:rsid w:val="00ED5F5C"/>
    <w:rsid w:val="00ED650F"/>
    <w:rsid w:val="00EF114D"/>
    <w:rsid w:val="00EF7390"/>
    <w:rsid w:val="00F04C49"/>
    <w:rsid w:val="00F17446"/>
    <w:rsid w:val="00F7094F"/>
    <w:rsid w:val="00F77168"/>
    <w:rsid w:val="00F9088F"/>
    <w:rsid w:val="00F95A2E"/>
    <w:rsid w:val="00FA633C"/>
    <w:rsid w:val="00FC7DA0"/>
    <w:rsid w:val="00FD2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707"/>
    <w:pPr>
      <w:spacing w:before="80" w:after="0" w:line="240" w:lineRule="auto"/>
      <w:ind w:firstLine="720"/>
      <w:jc w:val="both"/>
    </w:pPr>
    <w:rPr>
      <w:rFonts w:ascii="VNtimes new roman" w:eastAsia="Times New Roman" w:hAnsi="VN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91707"/>
    <w:pPr>
      <w:tabs>
        <w:tab w:val="left" w:pos="2694"/>
      </w:tabs>
      <w:spacing w:before="0"/>
      <w:ind w:firstLine="567"/>
    </w:pPr>
    <w:rPr>
      <w:sz w:val="28"/>
    </w:rPr>
  </w:style>
  <w:style w:type="character" w:customStyle="1" w:styleId="BodyTextIndentChar">
    <w:name w:val="Body Text Indent Char"/>
    <w:basedOn w:val="DefaultParagraphFont"/>
    <w:link w:val="BodyTextIndent"/>
    <w:semiHidden/>
    <w:rsid w:val="00A91707"/>
    <w:rPr>
      <w:rFonts w:ascii="VNtimes new roman" w:eastAsia="Times New Roman" w:hAnsi="VNtimes new roman" w:cs="Times New Roman"/>
      <w:sz w:val="28"/>
      <w:szCs w:val="20"/>
    </w:rPr>
  </w:style>
  <w:style w:type="paragraph" w:styleId="BodyTextIndent2">
    <w:name w:val="Body Text Indent 2"/>
    <w:basedOn w:val="Normal"/>
    <w:link w:val="BodyTextIndent2Char"/>
    <w:semiHidden/>
    <w:rsid w:val="00A91707"/>
    <w:pPr>
      <w:spacing w:before="0"/>
    </w:pPr>
  </w:style>
  <w:style w:type="character" w:customStyle="1" w:styleId="BodyTextIndent2Char">
    <w:name w:val="Body Text Indent 2 Char"/>
    <w:basedOn w:val="DefaultParagraphFont"/>
    <w:link w:val="BodyTextIndent2"/>
    <w:semiHidden/>
    <w:rsid w:val="00A91707"/>
    <w:rPr>
      <w:rFonts w:ascii="VNtimes new roman" w:eastAsia="Times New Roman" w:hAnsi="VNtimes new roman" w:cs="Times New Roman"/>
      <w:sz w:val="24"/>
      <w:szCs w:val="20"/>
    </w:rPr>
  </w:style>
  <w:style w:type="paragraph" w:styleId="BodyText3">
    <w:name w:val="Body Text 3"/>
    <w:basedOn w:val="Normal"/>
    <w:link w:val="BodyText3Char"/>
    <w:semiHidden/>
    <w:rsid w:val="00A91707"/>
    <w:pPr>
      <w:tabs>
        <w:tab w:val="center" w:pos="567"/>
        <w:tab w:val="center" w:pos="7560"/>
      </w:tabs>
      <w:spacing w:before="0"/>
      <w:ind w:firstLine="0"/>
    </w:pPr>
    <w:rPr>
      <w:rFonts w:ascii="Times New Roman" w:hAnsi="Times New Roman"/>
    </w:rPr>
  </w:style>
  <w:style w:type="character" w:customStyle="1" w:styleId="BodyText3Char">
    <w:name w:val="Body Text 3 Char"/>
    <w:basedOn w:val="DefaultParagraphFont"/>
    <w:link w:val="BodyText3"/>
    <w:semiHidden/>
    <w:rsid w:val="00A91707"/>
    <w:rPr>
      <w:rFonts w:ascii="Times New Roman" w:eastAsia="Times New Roman" w:hAnsi="Times New Roman" w:cs="Times New Roman"/>
      <w:sz w:val="24"/>
      <w:szCs w:val="20"/>
    </w:rPr>
  </w:style>
  <w:style w:type="paragraph" w:styleId="ListBullet2">
    <w:name w:val="List Bullet 2"/>
    <w:basedOn w:val="Normal"/>
    <w:autoRedefine/>
    <w:rsid w:val="00A12167"/>
    <w:pPr>
      <w:spacing w:before="120"/>
    </w:pPr>
    <w:rPr>
      <w:rFonts w:ascii="Times New Roman" w:hAnsi="Times New Roman"/>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2014-12-17T22:49:00Z</dcterms:created>
  <dcterms:modified xsi:type="dcterms:W3CDTF">2014-12-17T22:55:00Z</dcterms:modified>
</cp:coreProperties>
</file>