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E44" w:rsidRDefault="002A0E44" w:rsidP="002A0E44">
      <w:pPr>
        <w:spacing w:line="264" w:lineRule="auto"/>
        <w:jc w:val="both"/>
        <w:rPr>
          <w:lang w:val="nl-NL"/>
        </w:rPr>
      </w:pPr>
    </w:p>
    <w:p w:rsidR="002A0E44" w:rsidRPr="00F25FA6" w:rsidRDefault="002A0E44" w:rsidP="002A0E44">
      <w:pPr>
        <w:tabs>
          <w:tab w:val="left" w:pos="1077"/>
        </w:tabs>
        <w:spacing w:line="264" w:lineRule="auto"/>
        <w:jc w:val="both"/>
      </w:pPr>
      <w:r w:rsidRPr="00A00EF8">
        <w:t>TRÁI PHIẾU</w:t>
      </w:r>
      <w:r>
        <w:t xml:space="preserve"> VÀ CÁC ĐẶC TRƯNG CƠ BẢN CỦA TRÁI PHIẾU</w:t>
      </w:r>
    </w:p>
    <w:p w:rsidR="002A0E44" w:rsidRPr="00637906" w:rsidRDefault="002A0E44" w:rsidP="002A0E44">
      <w:pPr>
        <w:spacing w:line="264" w:lineRule="auto"/>
        <w:jc w:val="both"/>
        <w:rPr>
          <w:rFonts w:cs="Times New Roman"/>
          <w:b/>
        </w:rPr>
      </w:pPr>
      <w:r>
        <w:rPr>
          <w:rFonts w:cs="Times New Roman"/>
          <w:b/>
        </w:rPr>
        <w:t>1.</w:t>
      </w:r>
      <w:r w:rsidRPr="00637906">
        <w:rPr>
          <w:rFonts w:cs="Times New Roman"/>
          <w:b/>
        </w:rPr>
        <w:t xml:space="preserve"> Khái niệm</w:t>
      </w:r>
      <w:r>
        <w:rPr>
          <w:rFonts w:cs="Times New Roman"/>
          <w:b/>
        </w:rPr>
        <w:t xml:space="preserve"> Trái phiếu</w:t>
      </w:r>
    </w:p>
    <w:p w:rsidR="002A0E44" w:rsidRPr="00637906" w:rsidRDefault="002A0E44" w:rsidP="002A0E44">
      <w:pPr>
        <w:spacing w:line="264" w:lineRule="auto"/>
        <w:ind w:firstLine="720"/>
        <w:jc w:val="both"/>
        <w:rPr>
          <w:rFonts w:cs="Times New Roman"/>
        </w:rPr>
      </w:pPr>
      <w:r w:rsidRPr="00637906">
        <w:rPr>
          <w:rFonts w:cs="Times New Roman"/>
          <w:i/>
        </w:rPr>
        <w:t>Trái phiếu là một hợp đồng nợ dài hạn được ký kết giữa chủ thể phát hành (chính phủ hay doanh nghiệp) và người cho vay, đảm bảo một sự chi trả lợi tức định kỳ và hoàn lại vốn gốc cho người cầm trái phiếu ở thời điểm đáo hạn</w:t>
      </w:r>
      <w:r w:rsidRPr="00637906">
        <w:rPr>
          <w:rFonts w:cs="Times New Roman"/>
        </w:rPr>
        <w:t xml:space="preserve">. </w:t>
      </w:r>
      <w:proofErr w:type="gramStart"/>
      <w:r w:rsidRPr="00637906">
        <w:rPr>
          <w:rFonts w:cs="Times New Roman"/>
        </w:rPr>
        <w:t>Trên giấy chứng nhận nợ này có ghi mệnh giá của trái phiếu và tỷ suất lãi trái phiếu.</w:t>
      </w:r>
      <w:proofErr w:type="gramEnd"/>
    </w:p>
    <w:p w:rsidR="002A0E44" w:rsidRPr="00637906" w:rsidRDefault="002A0E44" w:rsidP="002A0E44">
      <w:pPr>
        <w:spacing w:line="264" w:lineRule="auto"/>
        <w:jc w:val="both"/>
        <w:rPr>
          <w:rFonts w:cs="Times New Roman"/>
          <w:b/>
        </w:rPr>
      </w:pPr>
      <w:r>
        <w:rPr>
          <w:rFonts w:cs="Times New Roman"/>
          <w:b/>
        </w:rPr>
        <w:t>2.</w:t>
      </w:r>
      <w:r w:rsidRPr="00637906">
        <w:rPr>
          <w:rFonts w:cs="Times New Roman"/>
          <w:b/>
        </w:rPr>
        <w:t xml:space="preserve"> Đặc điểm</w:t>
      </w:r>
    </w:p>
    <w:p w:rsidR="002A0E44" w:rsidRPr="00637906" w:rsidRDefault="002A0E44" w:rsidP="002A0E44">
      <w:pPr>
        <w:spacing w:line="264" w:lineRule="auto"/>
        <w:ind w:firstLine="720"/>
        <w:jc w:val="both"/>
        <w:rPr>
          <w:rFonts w:cs="Times New Roman"/>
        </w:rPr>
      </w:pPr>
      <w:proofErr w:type="gramStart"/>
      <w:r w:rsidRPr="00F25FA6">
        <w:rPr>
          <w:rFonts w:cs="Times New Roman"/>
        </w:rPr>
        <w:t>Trái phiếu là một công cụ nợ đòi hỏi người phát hành (còn gọi là người đi vay hay con</w:t>
      </w:r>
      <w:r w:rsidRPr="00637906">
        <w:rPr>
          <w:rFonts w:cs="Times New Roman"/>
        </w:rPr>
        <w:t xml:space="preserve"> nợ) hoàn trả cho người cho vay (người đầu tư) khối lượng vốn đã vay cộng với tiền lãi trong một thời gian nhất định.</w:t>
      </w:r>
      <w:proofErr w:type="gramEnd"/>
    </w:p>
    <w:p w:rsidR="002A0E44" w:rsidRPr="00F25FA6" w:rsidRDefault="002A0E44" w:rsidP="002A0E44">
      <w:pPr>
        <w:spacing w:line="264" w:lineRule="auto"/>
        <w:ind w:firstLine="720"/>
        <w:jc w:val="both"/>
        <w:rPr>
          <w:rFonts w:cs="Times New Roman"/>
          <w:b/>
        </w:rPr>
      </w:pPr>
      <w:r w:rsidRPr="00F25FA6">
        <w:rPr>
          <w:rFonts w:cs="Times New Roman"/>
          <w:b/>
        </w:rPr>
        <w:t xml:space="preserve">Những đặc trưng quan trọng của trái phiếu </w:t>
      </w:r>
    </w:p>
    <w:p w:rsidR="002A0E44" w:rsidRPr="00637906" w:rsidRDefault="002A0E44" w:rsidP="002A0E44">
      <w:pPr>
        <w:spacing w:line="264" w:lineRule="auto"/>
        <w:jc w:val="both"/>
        <w:rPr>
          <w:rFonts w:cs="Times New Roman"/>
        </w:rPr>
      </w:pPr>
      <w:proofErr w:type="gramStart"/>
      <w:r>
        <w:rPr>
          <w:rFonts w:cs="Times New Roman"/>
        </w:rPr>
        <w:t>a.</w:t>
      </w:r>
      <w:r w:rsidRPr="00637906">
        <w:rPr>
          <w:rFonts w:cs="Times New Roman"/>
        </w:rPr>
        <w:t>Mệnh</w:t>
      </w:r>
      <w:proofErr w:type="gramEnd"/>
      <w:r w:rsidRPr="00637906">
        <w:rPr>
          <w:rFonts w:cs="Times New Roman"/>
        </w:rPr>
        <w:t xml:space="preserve"> giá (par value): </w:t>
      </w:r>
    </w:p>
    <w:p w:rsidR="002A0E44" w:rsidRPr="00637906" w:rsidRDefault="002A0E44" w:rsidP="002A0E44">
      <w:pPr>
        <w:spacing w:line="264" w:lineRule="auto"/>
        <w:ind w:firstLine="720"/>
        <w:jc w:val="both"/>
        <w:rPr>
          <w:rFonts w:cs="Times New Roman"/>
        </w:rPr>
      </w:pPr>
      <w:proofErr w:type="gramStart"/>
      <w:r w:rsidRPr="00637906">
        <w:rPr>
          <w:rFonts w:cs="Times New Roman"/>
          <w:i/>
        </w:rPr>
        <w:t>Giá trị danh nghĩa của trái phiếu được in ngay trên tờ phiếu, đại diện cho số tiền được trả tại thời điểm đáo hạn</w:t>
      </w:r>
      <w:r w:rsidRPr="00637906">
        <w:rPr>
          <w:rFonts w:cs="Times New Roman"/>
        </w:rPr>
        <w:t>.</w:t>
      </w:r>
      <w:proofErr w:type="gramEnd"/>
    </w:p>
    <w:p w:rsidR="002A0E44" w:rsidRPr="00637906" w:rsidRDefault="002A0E44" w:rsidP="002A0E44">
      <w:pPr>
        <w:spacing w:line="264" w:lineRule="auto"/>
        <w:jc w:val="both"/>
        <w:rPr>
          <w:rFonts w:cs="Times New Roman"/>
        </w:rPr>
      </w:pPr>
    </w:p>
    <w:tbl>
      <w:tblPr>
        <w:tblW w:w="3388" w:type="dxa"/>
        <w:jc w:val="center"/>
        <w:tblInd w:w="93" w:type="dxa"/>
        <w:tblLook w:val="0000" w:firstRow="0" w:lastRow="0" w:firstColumn="0" w:lastColumn="0" w:noHBand="0" w:noVBand="0"/>
      </w:tblPr>
      <w:tblGrid>
        <w:gridCol w:w="765"/>
        <w:gridCol w:w="493"/>
        <w:gridCol w:w="2130"/>
      </w:tblGrid>
      <w:tr w:rsidR="002A0E44" w:rsidRPr="00637906" w:rsidTr="00934966">
        <w:trPr>
          <w:trHeight w:val="330"/>
          <w:jc w:val="center"/>
        </w:trPr>
        <w:tc>
          <w:tcPr>
            <w:tcW w:w="765" w:type="dxa"/>
            <w:vMerge w:val="restart"/>
            <w:tcBorders>
              <w:top w:val="nil"/>
              <w:left w:val="nil"/>
              <w:bottom w:val="nil"/>
              <w:right w:val="nil"/>
            </w:tcBorders>
            <w:shd w:val="clear" w:color="auto" w:fill="auto"/>
            <w:vAlign w:val="center"/>
          </w:tcPr>
          <w:p w:rsidR="002A0E44" w:rsidRPr="00637906" w:rsidRDefault="002A0E44" w:rsidP="00934966">
            <w:pPr>
              <w:spacing w:line="264" w:lineRule="auto"/>
              <w:jc w:val="both"/>
              <w:rPr>
                <w:rFonts w:cs="Times New Roman"/>
              </w:rPr>
            </w:pPr>
            <w:r>
              <w:rPr>
                <w:rFonts w:cs="Times New Roman"/>
              </w:rPr>
              <w:t>Pn</w:t>
            </w:r>
          </w:p>
        </w:tc>
        <w:tc>
          <w:tcPr>
            <w:tcW w:w="493" w:type="dxa"/>
            <w:vMerge w:val="restart"/>
            <w:tcBorders>
              <w:top w:val="nil"/>
              <w:left w:val="nil"/>
              <w:bottom w:val="nil"/>
              <w:right w:val="nil"/>
            </w:tcBorders>
            <w:shd w:val="clear" w:color="auto" w:fill="auto"/>
            <w:vAlign w:val="center"/>
          </w:tcPr>
          <w:p w:rsidR="002A0E44" w:rsidRPr="00637906" w:rsidRDefault="002A0E44" w:rsidP="00934966">
            <w:pPr>
              <w:spacing w:line="264" w:lineRule="auto"/>
              <w:jc w:val="both"/>
              <w:rPr>
                <w:rFonts w:cs="Times New Roman"/>
              </w:rPr>
            </w:pPr>
            <w:r w:rsidRPr="00637906">
              <w:rPr>
                <w:rFonts w:cs="Times New Roman"/>
              </w:rPr>
              <w:t>=</w:t>
            </w:r>
          </w:p>
        </w:tc>
        <w:tc>
          <w:tcPr>
            <w:tcW w:w="2130" w:type="dxa"/>
            <w:tcBorders>
              <w:top w:val="nil"/>
              <w:left w:val="nil"/>
              <w:bottom w:val="single" w:sz="4" w:space="0" w:color="auto"/>
              <w:right w:val="nil"/>
            </w:tcBorders>
            <w:shd w:val="clear" w:color="auto" w:fill="auto"/>
            <w:noWrap/>
            <w:vAlign w:val="bottom"/>
          </w:tcPr>
          <w:p w:rsidR="002A0E44" w:rsidRPr="00637906" w:rsidRDefault="002A0E44" w:rsidP="00934966">
            <w:pPr>
              <w:spacing w:line="264" w:lineRule="auto"/>
              <w:jc w:val="both"/>
              <w:rPr>
                <w:rFonts w:cs="Times New Roman"/>
              </w:rPr>
            </w:pPr>
            <w:r w:rsidRPr="00637906">
              <w:rPr>
                <w:rFonts w:cs="Times New Roman"/>
              </w:rPr>
              <w:t>VHĐ</w:t>
            </w:r>
          </w:p>
        </w:tc>
      </w:tr>
      <w:tr w:rsidR="002A0E44" w:rsidRPr="00637906" w:rsidTr="00934966">
        <w:trPr>
          <w:trHeight w:val="330"/>
          <w:jc w:val="center"/>
        </w:trPr>
        <w:tc>
          <w:tcPr>
            <w:tcW w:w="765" w:type="dxa"/>
            <w:vMerge/>
            <w:tcBorders>
              <w:top w:val="nil"/>
              <w:left w:val="nil"/>
              <w:bottom w:val="nil"/>
              <w:right w:val="nil"/>
            </w:tcBorders>
            <w:vAlign w:val="center"/>
          </w:tcPr>
          <w:p w:rsidR="002A0E44" w:rsidRPr="00637906" w:rsidRDefault="002A0E44" w:rsidP="00934966">
            <w:pPr>
              <w:spacing w:line="264" w:lineRule="auto"/>
              <w:jc w:val="both"/>
              <w:rPr>
                <w:rFonts w:cs="Times New Roman"/>
              </w:rPr>
            </w:pPr>
          </w:p>
        </w:tc>
        <w:tc>
          <w:tcPr>
            <w:tcW w:w="493" w:type="dxa"/>
            <w:vMerge/>
            <w:tcBorders>
              <w:top w:val="nil"/>
              <w:left w:val="nil"/>
              <w:bottom w:val="nil"/>
              <w:right w:val="nil"/>
            </w:tcBorders>
            <w:vAlign w:val="center"/>
          </w:tcPr>
          <w:p w:rsidR="002A0E44" w:rsidRPr="00637906" w:rsidRDefault="002A0E44" w:rsidP="00934966">
            <w:pPr>
              <w:spacing w:line="264" w:lineRule="auto"/>
              <w:jc w:val="both"/>
              <w:rPr>
                <w:rFonts w:cs="Times New Roman"/>
              </w:rPr>
            </w:pPr>
          </w:p>
        </w:tc>
        <w:tc>
          <w:tcPr>
            <w:tcW w:w="2130" w:type="dxa"/>
            <w:tcBorders>
              <w:top w:val="nil"/>
              <w:left w:val="nil"/>
              <w:bottom w:val="nil"/>
              <w:right w:val="nil"/>
            </w:tcBorders>
            <w:shd w:val="clear" w:color="auto" w:fill="auto"/>
            <w:noWrap/>
            <w:vAlign w:val="bottom"/>
          </w:tcPr>
          <w:p w:rsidR="002A0E44" w:rsidRPr="00637906" w:rsidRDefault="002A0E44" w:rsidP="00934966">
            <w:pPr>
              <w:spacing w:line="264" w:lineRule="auto"/>
              <w:jc w:val="both"/>
              <w:rPr>
                <w:rFonts w:cs="Times New Roman"/>
              </w:rPr>
            </w:pPr>
            <w:r w:rsidRPr="00637906">
              <w:rPr>
                <w:rFonts w:cs="Times New Roman"/>
              </w:rPr>
              <w:t>SPH</w:t>
            </w:r>
          </w:p>
        </w:tc>
      </w:tr>
    </w:tbl>
    <w:p w:rsidR="002A0E44" w:rsidRPr="00637906" w:rsidRDefault="002A0E44" w:rsidP="002A0E44">
      <w:pPr>
        <w:spacing w:line="264" w:lineRule="auto"/>
        <w:ind w:firstLine="720"/>
        <w:jc w:val="both"/>
        <w:rPr>
          <w:rFonts w:cs="Times New Roman"/>
        </w:rPr>
      </w:pPr>
    </w:p>
    <w:p w:rsidR="002A0E44" w:rsidRPr="00637906" w:rsidRDefault="002A0E44" w:rsidP="002A0E44">
      <w:pPr>
        <w:spacing w:line="264" w:lineRule="auto"/>
        <w:ind w:firstLine="720"/>
        <w:jc w:val="both"/>
        <w:rPr>
          <w:rFonts w:cs="Times New Roman"/>
        </w:rPr>
      </w:pPr>
      <w:r>
        <w:rPr>
          <w:rFonts w:cs="Times New Roman"/>
        </w:rPr>
        <w:t>Pn</w:t>
      </w:r>
      <w:r w:rsidRPr="00637906">
        <w:rPr>
          <w:rFonts w:cs="Times New Roman"/>
        </w:rPr>
        <w:t xml:space="preserve">: </w:t>
      </w:r>
      <w:r w:rsidRPr="00637906">
        <w:rPr>
          <w:rFonts w:cs="Times New Roman"/>
        </w:rPr>
        <w:tab/>
        <w:t>Mệnh giá trái phiếu</w:t>
      </w:r>
    </w:p>
    <w:p w:rsidR="002A0E44" w:rsidRPr="00637906" w:rsidRDefault="002A0E44" w:rsidP="002A0E44">
      <w:pPr>
        <w:spacing w:line="264" w:lineRule="auto"/>
        <w:jc w:val="both"/>
        <w:rPr>
          <w:rFonts w:cs="Times New Roman"/>
        </w:rPr>
      </w:pPr>
      <w:r w:rsidRPr="00637906">
        <w:rPr>
          <w:rFonts w:cs="Times New Roman"/>
        </w:rPr>
        <w:tab/>
        <w:t>VHĐ: Số vốn huy động</w:t>
      </w:r>
    </w:p>
    <w:p w:rsidR="002A0E44" w:rsidRPr="00637906" w:rsidRDefault="002A0E44" w:rsidP="002A0E44">
      <w:pPr>
        <w:spacing w:line="264" w:lineRule="auto"/>
        <w:jc w:val="both"/>
        <w:rPr>
          <w:rFonts w:cs="Times New Roman"/>
        </w:rPr>
      </w:pPr>
      <w:r w:rsidRPr="00637906">
        <w:rPr>
          <w:rFonts w:cs="Times New Roman"/>
        </w:rPr>
        <w:tab/>
        <w:t>SPH:</w:t>
      </w:r>
      <w:r w:rsidRPr="00637906">
        <w:rPr>
          <w:rFonts w:cs="Times New Roman"/>
        </w:rPr>
        <w:tab/>
        <w:t>Số trái phiếu phát hành</w:t>
      </w:r>
    </w:p>
    <w:p w:rsidR="002A0E44" w:rsidRPr="00637906" w:rsidRDefault="002A0E44" w:rsidP="002A0E44">
      <w:pPr>
        <w:spacing w:line="264" w:lineRule="auto"/>
        <w:jc w:val="both"/>
        <w:rPr>
          <w:rFonts w:cs="Times New Roman"/>
        </w:rPr>
      </w:pPr>
      <w:proofErr w:type="gramStart"/>
      <w:r>
        <w:rPr>
          <w:rFonts w:cs="Times New Roman"/>
        </w:rPr>
        <w:t>b.</w:t>
      </w:r>
      <w:r w:rsidRPr="00637906">
        <w:rPr>
          <w:rFonts w:cs="Times New Roman"/>
        </w:rPr>
        <w:t>Tỷ</w:t>
      </w:r>
      <w:proofErr w:type="gramEnd"/>
      <w:r w:rsidRPr="00637906">
        <w:rPr>
          <w:rFonts w:cs="Times New Roman"/>
        </w:rPr>
        <w:t xml:space="preserve"> suất lãi trái phiếu</w:t>
      </w:r>
    </w:p>
    <w:p w:rsidR="002A0E44" w:rsidRPr="00637906" w:rsidRDefault="002A0E44" w:rsidP="002A0E44">
      <w:pPr>
        <w:spacing w:line="264" w:lineRule="auto"/>
        <w:ind w:firstLine="720"/>
        <w:jc w:val="both"/>
        <w:rPr>
          <w:rFonts w:cs="Times New Roman"/>
        </w:rPr>
      </w:pPr>
      <w:proofErr w:type="gramStart"/>
      <w:r w:rsidRPr="00637906">
        <w:rPr>
          <w:rFonts w:cs="Times New Roman"/>
          <w:i/>
        </w:rPr>
        <w:t>Lãi suất danh nghĩa (coupon interest rates) của trái phiếu quy định mức lãi mà nhà đầu tư được hưởng hàng năm</w:t>
      </w:r>
      <w:r w:rsidRPr="00637906">
        <w:rPr>
          <w:rFonts w:cs="Times New Roman"/>
        </w:rPr>
        <w:t>.</w:t>
      </w:r>
      <w:proofErr w:type="gramEnd"/>
      <w:r w:rsidRPr="00637906">
        <w:rPr>
          <w:rFonts w:cs="Times New Roman"/>
        </w:rPr>
        <w:t xml:space="preserve"> </w:t>
      </w:r>
    </w:p>
    <w:p w:rsidR="002A0E44" w:rsidRPr="00637906" w:rsidRDefault="002A0E44" w:rsidP="002A0E44">
      <w:pPr>
        <w:spacing w:line="264" w:lineRule="auto"/>
        <w:ind w:firstLine="720"/>
        <w:jc w:val="both"/>
        <w:rPr>
          <w:rFonts w:cs="Times New Roman"/>
        </w:rPr>
      </w:pPr>
      <w:r w:rsidRPr="00637906">
        <w:rPr>
          <w:rFonts w:cs="Times New Roman"/>
        </w:rPr>
        <w:t xml:space="preserve">Thông thường tất cả các trái phiếu đều trả lãi cuống phiếu </w:t>
      </w:r>
      <w:proofErr w:type="gramStart"/>
      <w:r w:rsidRPr="00637906">
        <w:rPr>
          <w:rFonts w:cs="Times New Roman"/>
        </w:rPr>
        <w:t>theo</w:t>
      </w:r>
      <w:proofErr w:type="gramEnd"/>
      <w:r w:rsidRPr="00637906">
        <w:rPr>
          <w:rFonts w:cs="Times New Roman"/>
        </w:rPr>
        <w:t xml:space="preserve"> định kỳ, mỗi năm một hoặc hai lần, trừ loại trái phiếu không trả lãi theo định kỳ </w:t>
      </w:r>
      <w:r w:rsidRPr="00637906">
        <w:rPr>
          <w:rFonts w:cs="Times New Roman"/>
        </w:rPr>
        <w:br/>
        <w:t xml:space="preserve">(zero-coupon bond). </w:t>
      </w:r>
    </w:p>
    <w:p w:rsidR="002A0E44" w:rsidRPr="00637906" w:rsidRDefault="002A0E44" w:rsidP="002A0E44">
      <w:pPr>
        <w:spacing w:line="264" w:lineRule="auto"/>
        <w:ind w:firstLine="720"/>
        <w:jc w:val="both"/>
        <w:rPr>
          <w:rFonts w:cs="Times New Roman"/>
        </w:rPr>
      </w:pPr>
      <w:r w:rsidRPr="00637906">
        <w:rPr>
          <w:rFonts w:cs="Times New Roman"/>
        </w:rPr>
        <w:t xml:space="preserve">Cũng có cả trái phiếu có lãi suất thả nổi với lãi suất trái phiếu được định kỳ ấn định lại </w:t>
      </w:r>
      <w:proofErr w:type="gramStart"/>
      <w:r w:rsidRPr="00637906">
        <w:rPr>
          <w:rFonts w:cs="Times New Roman"/>
        </w:rPr>
        <w:t>theo</w:t>
      </w:r>
      <w:proofErr w:type="gramEnd"/>
      <w:r w:rsidRPr="00637906">
        <w:rPr>
          <w:rFonts w:cs="Times New Roman"/>
        </w:rPr>
        <w:t xml:space="preserve"> một chuẩn nào đó được định trước.</w:t>
      </w:r>
    </w:p>
    <w:p w:rsidR="002A0E44" w:rsidRPr="00637906" w:rsidRDefault="002A0E44" w:rsidP="002A0E44">
      <w:pPr>
        <w:spacing w:line="264" w:lineRule="auto"/>
        <w:ind w:firstLine="720"/>
        <w:jc w:val="both"/>
        <w:rPr>
          <w:rFonts w:cs="Times New Roman"/>
        </w:rPr>
      </w:pPr>
      <w:r w:rsidRPr="00637906">
        <w:rPr>
          <w:rFonts w:cs="Times New Roman"/>
        </w:rPr>
        <w:t xml:space="preserve">Ngoài việc cho biết các khoản thanh toán lãi trái phiếu mà người đầu tư có thể nhận được trong thời hạn của trái phiếu, lãi trái phiếu còn chỉ ra mức độ mà </w:t>
      </w:r>
      <w:proofErr w:type="gramStart"/>
      <w:r w:rsidRPr="00637906">
        <w:rPr>
          <w:rFonts w:cs="Times New Roman"/>
        </w:rPr>
        <w:t>theo</w:t>
      </w:r>
      <w:proofErr w:type="gramEnd"/>
      <w:r w:rsidRPr="00637906">
        <w:rPr>
          <w:rFonts w:cs="Times New Roman"/>
        </w:rPr>
        <w:t xml:space="preserve"> đó giá của trái phiếu sẽ chịu tác động của những thay đổi của lãi suất. </w:t>
      </w:r>
      <w:proofErr w:type="gramStart"/>
      <w:r w:rsidRPr="00637906">
        <w:rPr>
          <w:rFonts w:cs="Times New Roman"/>
        </w:rPr>
        <w:t>Nếu các yếu tố khác không đổi, lãi trái phiếu càng cao, giá trái phiếu càng ít thay đổi trước một thay đổi của lãi suất.</w:t>
      </w:r>
      <w:proofErr w:type="gramEnd"/>
      <w:r w:rsidRPr="00637906">
        <w:rPr>
          <w:rFonts w:cs="Times New Roman"/>
        </w:rPr>
        <w:t xml:space="preserve"> </w:t>
      </w:r>
      <w:proofErr w:type="gramStart"/>
      <w:r w:rsidRPr="00637906">
        <w:rPr>
          <w:rFonts w:cs="Times New Roman"/>
        </w:rPr>
        <w:t>Kết quả là lãi trái phiếu và thời gian đáo hạn có những hiệu ứng ngược chiều đối với tính biến động giá của một trái phiếu.</w:t>
      </w:r>
      <w:proofErr w:type="gramEnd"/>
    </w:p>
    <w:p w:rsidR="002A0E44" w:rsidRPr="00637906" w:rsidRDefault="002A0E44" w:rsidP="002A0E44">
      <w:pPr>
        <w:spacing w:line="264" w:lineRule="auto"/>
        <w:jc w:val="both"/>
        <w:rPr>
          <w:rFonts w:cs="Times New Roman"/>
        </w:rPr>
      </w:pPr>
      <w:proofErr w:type="gramStart"/>
      <w:r>
        <w:rPr>
          <w:rFonts w:cs="Times New Roman"/>
        </w:rPr>
        <w:t>c.</w:t>
      </w:r>
      <w:r w:rsidRPr="00637906">
        <w:rPr>
          <w:rFonts w:cs="Times New Roman"/>
        </w:rPr>
        <w:t>Người</w:t>
      </w:r>
      <w:proofErr w:type="gramEnd"/>
      <w:r w:rsidRPr="00637906">
        <w:rPr>
          <w:rFonts w:cs="Times New Roman"/>
        </w:rPr>
        <w:t xml:space="preserve"> phát hành</w:t>
      </w:r>
    </w:p>
    <w:p w:rsidR="002A0E44" w:rsidRPr="00637906" w:rsidRDefault="002A0E44" w:rsidP="002A0E44">
      <w:pPr>
        <w:spacing w:line="264" w:lineRule="auto"/>
        <w:ind w:firstLine="720"/>
        <w:jc w:val="both"/>
        <w:rPr>
          <w:rFonts w:cs="Times New Roman"/>
        </w:rPr>
      </w:pPr>
      <w:proofErr w:type="gramStart"/>
      <w:r w:rsidRPr="00637906">
        <w:rPr>
          <w:rFonts w:cs="Times New Roman"/>
        </w:rPr>
        <w:t>Bản chất của người phát hành là một đặc trưng quan trọng của trái phiếu.</w:t>
      </w:r>
      <w:proofErr w:type="gramEnd"/>
      <w:r w:rsidRPr="00637906">
        <w:rPr>
          <w:rFonts w:cs="Times New Roman"/>
        </w:rPr>
        <w:t xml:space="preserve"> </w:t>
      </w:r>
      <w:proofErr w:type="gramStart"/>
      <w:r w:rsidRPr="00637906">
        <w:rPr>
          <w:rFonts w:cs="Times New Roman"/>
        </w:rPr>
        <w:t>Có hai loại người phát hành chính là chính phủ (trung ương và địa phương) và công ty.</w:t>
      </w:r>
      <w:proofErr w:type="gramEnd"/>
      <w:r w:rsidRPr="00637906">
        <w:rPr>
          <w:rFonts w:cs="Times New Roman"/>
        </w:rPr>
        <w:t xml:space="preserve"> Chính phủ là người phát hành đáng tin cậy nhất do có </w:t>
      </w:r>
      <w:r w:rsidRPr="00637906">
        <w:rPr>
          <w:rFonts w:cs="Times New Roman"/>
        </w:rPr>
        <w:lastRenderedPageBreak/>
        <w:t xml:space="preserve">được những điều kiện đảm bảo cao nhất cho việc hoàn trả gốc và trả lãi. </w:t>
      </w:r>
      <w:proofErr w:type="gramStart"/>
      <w:r w:rsidRPr="00637906">
        <w:rPr>
          <w:rFonts w:cs="Times New Roman"/>
        </w:rPr>
        <w:t>Còn trong khu vực công ty thì người phát hành có nhiều loại, mỗi loại có khả năng khác nhau trong việc đáp ứng các nghĩa vụ đã thỏa thuận với người cho vay.</w:t>
      </w:r>
      <w:proofErr w:type="gramEnd"/>
      <w:r w:rsidRPr="00637906">
        <w:rPr>
          <w:rFonts w:cs="Times New Roman"/>
        </w:rPr>
        <w:t xml:space="preserve"> </w:t>
      </w:r>
      <w:proofErr w:type="gramStart"/>
      <w:r w:rsidRPr="00637906">
        <w:rPr>
          <w:rFonts w:cs="Times New Roman"/>
        </w:rPr>
        <w:t>Nói cách khác, có thể coi rủi ro thanh toán của trái phiếu chính phủ là bằng 0 (không), còn trái phiếu công ty khác nhau có mức độ rủi ro thanh toán khác nhau.</w:t>
      </w:r>
      <w:proofErr w:type="gramEnd"/>
    </w:p>
    <w:p w:rsidR="002A0E44" w:rsidRPr="00637906" w:rsidRDefault="002A0E44" w:rsidP="002A0E44">
      <w:pPr>
        <w:spacing w:line="264" w:lineRule="auto"/>
        <w:ind w:firstLine="720"/>
        <w:jc w:val="both"/>
        <w:rPr>
          <w:rFonts w:cs="Times New Roman"/>
        </w:rPr>
      </w:pPr>
      <w:r w:rsidRPr="00637906">
        <w:rPr>
          <w:rFonts w:cs="Times New Roman"/>
        </w:rPr>
        <w:t>Ngoài rủi ro thanh toán, trái phiếu chính phủ vẫn phải chịu các loại rủi ro khác giống như bất kỳ một trái phiếu công ty nào, như rủi ro lãi suất, rủi ro lạm phát…</w:t>
      </w:r>
    </w:p>
    <w:p w:rsidR="002A0E44" w:rsidRPr="00637906" w:rsidRDefault="002A0E44" w:rsidP="002A0E44">
      <w:pPr>
        <w:spacing w:line="264" w:lineRule="auto"/>
        <w:jc w:val="both"/>
        <w:rPr>
          <w:rFonts w:cs="Times New Roman"/>
        </w:rPr>
      </w:pPr>
      <w:proofErr w:type="gramStart"/>
      <w:r>
        <w:rPr>
          <w:rFonts w:cs="Times New Roman"/>
        </w:rPr>
        <w:t>d.</w:t>
      </w:r>
      <w:r w:rsidRPr="00637906">
        <w:rPr>
          <w:rFonts w:cs="Times New Roman"/>
        </w:rPr>
        <w:t>Thời</w:t>
      </w:r>
      <w:proofErr w:type="gramEnd"/>
      <w:r w:rsidRPr="00637906">
        <w:rPr>
          <w:rFonts w:cs="Times New Roman"/>
        </w:rPr>
        <w:t xml:space="preserve"> hạn</w:t>
      </w:r>
    </w:p>
    <w:p w:rsidR="002A0E44" w:rsidRPr="00637906" w:rsidRDefault="002A0E44" w:rsidP="002A0E44">
      <w:pPr>
        <w:spacing w:line="264" w:lineRule="auto"/>
        <w:ind w:firstLine="720"/>
        <w:jc w:val="both"/>
        <w:rPr>
          <w:rFonts w:cs="Times New Roman"/>
        </w:rPr>
      </w:pPr>
      <w:r w:rsidRPr="00637906">
        <w:rPr>
          <w:rFonts w:cs="Times New Roman"/>
          <w:i/>
        </w:rPr>
        <w:t xml:space="preserve">Thời hạn của trái phiếu là số năm mà </w:t>
      </w:r>
      <w:proofErr w:type="gramStart"/>
      <w:r w:rsidRPr="00637906">
        <w:rPr>
          <w:rFonts w:cs="Times New Roman"/>
          <w:i/>
        </w:rPr>
        <w:t>theo</w:t>
      </w:r>
      <w:proofErr w:type="gramEnd"/>
      <w:r w:rsidRPr="00637906">
        <w:rPr>
          <w:rFonts w:cs="Times New Roman"/>
          <w:i/>
        </w:rPr>
        <w:t xml:space="preserve"> đó người phát hành hứa hẹn đáp ứng những điều kiện của nghĩa vụ</w:t>
      </w:r>
      <w:r w:rsidRPr="00637906">
        <w:rPr>
          <w:rFonts w:cs="Times New Roman"/>
        </w:rPr>
        <w:t xml:space="preserve">. Thời hạn của một trái phiếu là ngày chấm dứt sự tồn tại của khoản nợ, người phát hành sẽ </w:t>
      </w:r>
      <w:proofErr w:type="gramStart"/>
      <w:r w:rsidRPr="00637906">
        <w:rPr>
          <w:rFonts w:cs="Times New Roman"/>
        </w:rPr>
        <w:t>thu</w:t>
      </w:r>
      <w:proofErr w:type="gramEnd"/>
      <w:r w:rsidRPr="00637906">
        <w:rPr>
          <w:rFonts w:cs="Times New Roman"/>
        </w:rPr>
        <w:t xml:space="preserve"> hồi trái phiếu bằng cách hoàn trả khoản vay gốc. </w:t>
      </w:r>
      <w:proofErr w:type="gramStart"/>
      <w:r w:rsidRPr="00637906">
        <w:rPr>
          <w:rFonts w:cs="Times New Roman"/>
        </w:rPr>
        <w:t>Thời hạn này cũng còn được gọi là thời gian đáo hạn của trái phiếu.</w:t>
      </w:r>
      <w:proofErr w:type="gramEnd"/>
      <w:r w:rsidRPr="00637906">
        <w:rPr>
          <w:rFonts w:cs="Times New Roman"/>
        </w:rPr>
        <w:t xml:space="preserve"> </w:t>
      </w:r>
    </w:p>
    <w:p w:rsidR="002A0E44" w:rsidRPr="00637906" w:rsidRDefault="002A0E44" w:rsidP="002A0E44">
      <w:pPr>
        <w:spacing w:line="264" w:lineRule="auto"/>
        <w:ind w:firstLine="720"/>
        <w:jc w:val="both"/>
        <w:rPr>
          <w:rFonts w:cs="Times New Roman"/>
        </w:rPr>
      </w:pPr>
      <w:r w:rsidRPr="00637906">
        <w:rPr>
          <w:rFonts w:cs="Times New Roman"/>
        </w:rPr>
        <w:t xml:space="preserve">Nói chung những trái phiếu có thời hạn từ 01 đến 05 năm được gọi là trái </w:t>
      </w:r>
      <w:proofErr w:type="gramStart"/>
      <w:r w:rsidRPr="00637906">
        <w:rPr>
          <w:rFonts w:cs="Times New Roman"/>
        </w:rPr>
        <w:t>phiếu  ngắn</w:t>
      </w:r>
      <w:proofErr w:type="gramEnd"/>
      <w:r w:rsidRPr="00637906">
        <w:rPr>
          <w:rFonts w:cs="Times New Roman"/>
        </w:rPr>
        <w:t xml:space="preserve"> hạn; từ 05 đến 10 năm được gọi là trái phiếu trung hạn, trên 12 năm là những trái phiếu dài hạn.</w:t>
      </w:r>
    </w:p>
    <w:p w:rsidR="002A0E44" w:rsidRPr="002A0E44" w:rsidRDefault="002A0E44" w:rsidP="002A0E44">
      <w:pPr>
        <w:spacing w:line="264" w:lineRule="auto"/>
        <w:jc w:val="both"/>
        <w:rPr>
          <w:rFonts w:cs="Times New Roman"/>
          <w:i/>
        </w:rPr>
      </w:pPr>
      <w:r w:rsidRPr="002A0E44">
        <w:rPr>
          <w:rFonts w:cs="Times New Roman"/>
          <w:i/>
        </w:rPr>
        <w:t xml:space="preserve">* </w:t>
      </w:r>
      <w:r w:rsidRPr="002A0E44">
        <w:rPr>
          <w:rFonts w:cs="Times New Roman"/>
          <w:i/>
        </w:rPr>
        <w:t>Thời gian đáo hạn của trái phiếu là quan trọng vì 03 lý do:</w:t>
      </w:r>
    </w:p>
    <w:p w:rsidR="002A0E44" w:rsidRPr="00637906" w:rsidRDefault="002A0E44" w:rsidP="002A0E44">
      <w:pPr>
        <w:numPr>
          <w:ilvl w:val="0"/>
          <w:numId w:val="3"/>
        </w:numPr>
        <w:tabs>
          <w:tab w:val="num" w:pos="1077"/>
        </w:tabs>
        <w:spacing w:line="264" w:lineRule="auto"/>
        <w:ind w:left="0" w:firstLine="720"/>
        <w:jc w:val="both"/>
        <w:rPr>
          <w:rFonts w:cs="Times New Roman"/>
        </w:rPr>
      </w:pPr>
      <w:r w:rsidRPr="00637906">
        <w:rPr>
          <w:rFonts w:cs="Times New Roman"/>
        </w:rPr>
        <w:t>Nó cho biết khoảng thời gian mà người nắm giữ trái phiếu có thể mong đợi nhận được các khoản thanh toán lãi định kỳ, và cho biết số năm trước khi khoản vay gốc được hoàn trả toàn bộ.</w:t>
      </w:r>
    </w:p>
    <w:p w:rsidR="002A0E44" w:rsidRPr="00637906" w:rsidRDefault="002A0E44" w:rsidP="002A0E44">
      <w:pPr>
        <w:numPr>
          <w:ilvl w:val="0"/>
          <w:numId w:val="3"/>
        </w:numPr>
        <w:tabs>
          <w:tab w:val="num" w:pos="1077"/>
        </w:tabs>
        <w:spacing w:line="264" w:lineRule="auto"/>
        <w:ind w:left="0" w:firstLine="720"/>
        <w:jc w:val="both"/>
        <w:rPr>
          <w:rFonts w:cs="Times New Roman"/>
        </w:rPr>
      </w:pPr>
      <w:r w:rsidRPr="00637906">
        <w:rPr>
          <w:rFonts w:cs="Times New Roman"/>
        </w:rPr>
        <w:t>Lợi tức của một trái phiếu tùy thuộc vào thời hạn của nó.</w:t>
      </w:r>
    </w:p>
    <w:p w:rsidR="002A0E44" w:rsidRPr="00637906" w:rsidRDefault="002A0E44" w:rsidP="002A0E44">
      <w:pPr>
        <w:numPr>
          <w:ilvl w:val="0"/>
          <w:numId w:val="3"/>
        </w:numPr>
        <w:tabs>
          <w:tab w:val="num" w:pos="1077"/>
        </w:tabs>
        <w:spacing w:line="264" w:lineRule="auto"/>
        <w:ind w:left="0" w:firstLine="720"/>
        <w:jc w:val="both"/>
        <w:rPr>
          <w:rFonts w:cs="Times New Roman"/>
        </w:rPr>
      </w:pPr>
      <w:r w:rsidRPr="00637906">
        <w:rPr>
          <w:rFonts w:cs="Times New Roman"/>
        </w:rPr>
        <w:t>Giá của trái phiếu sẽ biến đổi qua quãng đời của nó khi lãi suất trên thị trường thay đổi – tính biến của giá trái phiếu phụ thuộc vào thời gian đáo hạn của nó. Nếu các yếu tố khác không đổi, thời gian đáo hạn càng dài, tính biến động giá của trái phiếu càng lớn trước một sự thay đổi của lãi suất thị trường.</w:t>
      </w:r>
    </w:p>
    <w:p w:rsidR="002A0E44" w:rsidRPr="00637906" w:rsidRDefault="002A0E44" w:rsidP="002A0E44">
      <w:pPr>
        <w:spacing w:line="264" w:lineRule="auto"/>
        <w:jc w:val="both"/>
        <w:rPr>
          <w:rFonts w:cs="Times New Roman"/>
          <w:b/>
        </w:rPr>
      </w:pPr>
      <w:r>
        <w:rPr>
          <w:rFonts w:cs="Times New Roman"/>
          <w:b/>
        </w:rPr>
        <w:t>3.</w:t>
      </w:r>
      <w:r w:rsidRPr="00637906">
        <w:rPr>
          <w:rFonts w:cs="Times New Roman"/>
          <w:b/>
        </w:rPr>
        <w:t xml:space="preserve"> Các loại trái phiếu</w:t>
      </w:r>
    </w:p>
    <w:p w:rsidR="002A0E44" w:rsidRPr="00637906" w:rsidRDefault="002A0E44" w:rsidP="002A0E44">
      <w:pPr>
        <w:spacing w:line="264" w:lineRule="auto"/>
        <w:jc w:val="both"/>
        <w:rPr>
          <w:rFonts w:cs="Times New Roman"/>
        </w:rPr>
      </w:pPr>
      <w:r w:rsidRPr="00637906">
        <w:rPr>
          <w:rFonts w:cs="Times New Roman"/>
        </w:rPr>
        <w:t xml:space="preserve">Căn cứ vào chủ thể phát hành có thể </w:t>
      </w:r>
      <w:proofErr w:type="gramStart"/>
      <w:r w:rsidRPr="00637906">
        <w:rPr>
          <w:rFonts w:cs="Times New Roman"/>
        </w:rPr>
        <w:t>chia  trái</w:t>
      </w:r>
      <w:proofErr w:type="gramEnd"/>
      <w:r w:rsidRPr="00637906">
        <w:rPr>
          <w:rFonts w:cs="Times New Roman"/>
        </w:rPr>
        <w:t xml:space="preserve"> phiếu ra làm 02 loại:</w:t>
      </w:r>
    </w:p>
    <w:p w:rsidR="002A0E44" w:rsidRPr="00637906" w:rsidRDefault="002A0E44" w:rsidP="002A0E44">
      <w:pPr>
        <w:spacing w:line="264" w:lineRule="auto"/>
        <w:ind w:left="720"/>
        <w:jc w:val="both"/>
        <w:rPr>
          <w:rFonts w:cs="Times New Roman"/>
        </w:rPr>
      </w:pPr>
      <w:proofErr w:type="gramStart"/>
      <w:r>
        <w:rPr>
          <w:rFonts w:cs="Times New Roman"/>
        </w:rPr>
        <w:t>a.</w:t>
      </w:r>
      <w:r w:rsidRPr="00637906">
        <w:rPr>
          <w:rFonts w:cs="Times New Roman"/>
        </w:rPr>
        <w:t>Trái</w:t>
      </w:r>
      <w:proofErr w:type="gramEnd"/>
      <w:r w:rsidRPr="00637906">
        <w:rPr>
          <w:rFonts w:cs="Times New Roman"/>
        </w:rPr>
        <w:t xml:space="preserve"> phiếu Chính phủ (Government Bonds):</w:t>
      </w:r>
    </w:p>
    <w:p w:rsidR="002A0E44" w:rsidRPr="00637906" w:rsidRDefault="002A0E44" w:rsidP="002A0E44">
      <w:pPr>
        <w:spacing w:line="264" w:lineRule="auto"/>
        <w:ind w:firstLine="720"/>
        <w:jc w:val="both"/>
        <w:rPr>
          <w:rFonts w:cs="Times New Roman"/>
        </w:rPr>
      </w:pPr>
      <w:r w:rsidRPr="003D1E86">
        <w:rPr>
          <w:rFonts w:cs="Times New Roman"/>
        </w:rPr>
        <w:t xml:space="preserve">Trái phiếu do chính phủ phát hành. </w:t>
      </w:r>
      <w:proofErr w:type="gramStart"/>
      <w:r w:rsidRPr="003D1E86">
        <w:rPr>
          <w:rFonts w:cs="Times New Roman"/>
        </w:rPr>
        <w:t>C</w:t>
      </w:r>
      <w:r w:rsidRPr="00637906">
        <w:rPr>
          <w:rFonts w:cs="Times New Roman"/>
        </w:rPr>
        <w:t>hính phủ phát hành trái phiếu (hay công cụ nợ nói chung) nhằm mục đích bù đắp thâm hụt ngân sách; tài trợ cho các công trình công ích hoặc làm công cụ điều tiết tiền tệ.</w:t>
      </w:r>
      <w:proofErr w:type="gramEnd"/>
    </w:p>
    <w:p w:rsidR="002A0E44" w:rsidRPr="00637906" w:rsidRDefault="002A0E44" w:rsidP="002A0E44">
      <w:pPr>
        <w:tabs>
          <w:tab w:val="num" w:pos="1077"/>
        </w:tabs>
        <w:spacing w:line="264" w:lineRule="auto"/>
        <w:ind w:left="1077"/>
        <w:jc w:val="both"/>
        <w:rPr>
          <w:rFonts w:cs="Times New Roman"/>
        </w:rPr>
      </w:pPr>
      <w:r>
        <w:rPr>
          <w:rFonts w:cs="Times New Roman"/>
        </w:rPr>
        <w:t>-</w:t>
      </w:r>
      <w:r w:rsidRPr="00637906">
        <w:rPr>
          <w:rFonts w:cs="Times New Roman"/>
        </w:rPr>
        <w:t xml:space="preserve">Trái phiếu chính phủ: </w:t>
      </w:r>
    </w:p>
    <w:p w:rsidR="002A0E44" w:rsidRPr="00637906" w:rsidRDefault="002A0E44" w:rsidP="002A0E44">
      <w:pPr>
        <w:spacing w:line="264" w:lineRule="auto"/>
        <w:ind w:firstLine="720"/>
        <w:jc w:val="both"/>
        <w:rPr>
          <w:rFonts w:cs="Times New Roman"/>
        </w:rPr>
      </w:pPr>
      <w:proofErr w:type="gramStart"/>
      <w:r w:rsidRPr="00637906">
        <w:rPr>
          <w:rFonts w:cs="Times New Roman"/>
        </w:rPr>
        <w:t>Loại chứng khoán không có rủi ro thanh toán và cũng là loại trái phiếu có tính thanh khoản cao.</w:t>
      </w:r>
      <w:proofErr w:type="gramEnd"/>
      <w:r w:rsidRPr="00637906">
        <w:rPr>
          <w:rFonts w:cs="Times New Roman"/>
        </w:rPr>
        <w:t xml:space="preserve"> Do đặc điểm đó, lãi suất của trái phiếu chính phủ được xem là lãi suất chuẩn để làm căn cứ ấn định lãi suất của các công cụ nợ khác có cùng kỳ hạn.</w:t>
      </w:r>
    </w:p>
    <w:p w:rsidR="002A0E44" w:rsidRPr="00637906" w:rsidRDefault="002A0E44" w:rsidP="002A0E44">
      <w:pPr>
        <w:tabs>
          <w:tab w:val="num" w:pos="1077"/>
        </w:tabs>
        <w:spacing w:line="264" w:lineRule="auto"/>
        <w:ind w:left="1077"/>
        <w:jc w:val="both"/>
        <w:rPr>
          <w:rFonts w:cs="Times New Roman"/>
        </w:rPr>
      </w:pPr>
      <w:r>
        <w:rPr>
          <w:rFonts w:cs="Times New Roman"/>
        </w:rPr>
        <w:t>-</w:t>
      </w:r>
      <w:r w:rsidRPr="00637906">
        <w:rPr>
          <w:rFonts w:cs="Times New Roman"/>
        </w:rPr>
        <w:t>Trái phiếu công trình:</w:t>
      </w:r>
    </w:p>
    <w:p w:rsidR="002A0E44" w:rsidRPr="00637906" w:rsidRDefault="002A0E44" w:rsidP="002A0E44">
      <w:pPr>
        <w:spacing w:line="264" w:lineRule="auto"/>
        <w:ind w:firstLine="720"/>
        <w:jc w:val="both"/>
        <w:rPr>
          <w:rFonts w:cs="Times New Roman"/>
        </w:rPr>
      </w:pPr>
      <w:r w:rsidRPr="00637906">
        <w:rPr>
          <w:rFonts w:cs="Times New Roman"/>
        </w:rPr>
        <w:t>Loại trái phiếu được phát hành để huy động vốn cho những mục đích cụ thể, thường là xây dựng những công trình cơ sở hạ tầng hay công trình phúc lợi công cộng. Trái phiếu này có thể do chính phủ trung ương hoặc chính quyền địa phương phát hành.</w:t>
      </w:r>
    </w:p>
    <w:p w:rsidR="002A0E44" w:rsidRPr="00637906" w:rsidRDefault="002A0E44" w:rsidP="002A0E44">
      <w:pPr>
        <w:spacing w:line="264" w:lineRule="auto"/>
        <w:ind w:left="720"/>
        <w:jc w:val="both"/>
        <w:rPr>
          <w:rFonts w:cs="Times New Roman"/>
        </w:rPr>
      </w:pPr>
      <w:proofErr w:type="gramStart"/>
      <w:r>
        <w:rPr>
          <w:rFonts w:cs="Times New Roman"/>
        </w:rPr>
        <w:t>b.</w:t>
      </w:r>
      <w:r w:rsidRPr="00637906">
        <w:rPr>
          <w:rFonts w:cs="Times New Roman"/>
        </w:rPr>
        <w:t>Trái</w:t>
      </w:r>
      <w:proofErr w:type="gramEnd"/>
      <w:r w:rsidRPr="00637906">
        <w:rPr>
          <w:rFonts w:cs="Times New Roman"/>
        </w:rPr>
        <w:t xml:space="preserve"> phiếu doanh nghiệp (Coporate Bonds): </w:t>
      </w:r>
    </w:p>
    <w:p w:rsidR="002A0E44" w:rsidRPr="00637906" w:rsidRDefault="002A0E44" w:rsidP="002A0E44">
      <w:pPr>
        <w:spacing w:line="264" w:lineRule="auto"/>
        <w:ind w:left="720"/>
        <w:jc w:val="both"/>
        <w:rPr>
          <w:rFonts w:cs="Times New Roman"/>
        </w:rPr>
      </w:pPr>
      <w:r w:rsidRPr="003D1E86">
        <w:rPr>
          <w:rFonts w:cs="Times New Roman"/>
        </w:rPr>
        <w:t>Trái phiếu do các công ty phát hành (có đủ điều kiện của UBCKNN) để vay v</w:t>
      </w:r>
      <w:r w:rsidRPr="00637906">
        <w:rPr>
          <w:rFonts w:cs="Times New Roman"/>
        </w:rPr>
        <w:t xml:space="preserve">ốn dài hạn. </w:t>
      </w:r>
    </w:p>
    <w:p w:rsidR="002A0E44" w:rsidRPr="003D1E86" w:rsidRDefault="002A0E44" w:rsidP="002A0E44">
      <w:pPr>
        <w:spacing w:line="264" w:lineRule="auto"/>
        <w:ind w:left="1080"/>
        <w:jc w:val="both"/>
        <w:rPr>
          <w:rFonts w:cs="Times New Roman"/>
          <w:i/>
        </w:rPr>
      </w:pPr>
      <w:r w:rsidRPr="003D1E86">
        <w:rPr>
          <w:rFonts w:cs="Times New Roman"/>
          <w:i/>
        </w:rPr>
        <w:t>Đặc điểm của trái phiếu doanh nghiệp:</w:t>
      </w:r>
    </w:p>
    <w:p w:rsidR="002A0E44" w:rsidRPr="00637906" w:rsidRDefault="002A0E44" w:rsidP="002A0E44">
      <w:pPr>
        <w:numPr>
          <w:ilvl w:val="0"/>
          <w:numId w:val="2"/>
        </w:numPr>
        <w:tabs>
          <w:tab w:val="num" w:pos="1077"/>
        </w:tabs>
        <w:spacing w:line="264" w:lineRule="auto"/>
        <w:ind w:left="0" w:firstLine="720"/>
        <w:jc w:val="both"/>
        <w:rPr>
          <w:rFonts w:cs="Times New Roman"/>
        </w:rPr>
      </w:pPr>
      <w:r w:rsidRPr="00637906">
        <w:rPr>
          <w:rFonts w:cs="Times New Roman"/>
        </w:rPr>
        <w:t>Người nắm giữ trái phiếu được trả lãi định kỳ và trả gốc khi đáo hạn, song không được tham dự vào các quyết định của công ty. (Cũng có những trái phiếu không trả lãi định kỳ, người mua được mua dưới mệnh giá và khi đến hạn được nhận lại mệnh giá)</w:t>
      </w:r>
    </w:p>
    <w:p w:rsidR="002A0E44" w:rsidRPr="00637906" w:rsidRDefault="002A0E44" w:rsidP="002A0E44">
      <w:pPr>
        <w:numPr>
          <w:ilvl w:val="0"/>
          <w:numId w:val="2"/>
        </w:numPr>
        <w:tabs>
          <w:tab w:val="num" w:pos="1077"/>
        </w:tabs>
        <w:spacing w:line="264" w:lineRule="auto"/>
        <w:ind w:left="0" w:firstLine="720"/>
        <w:jc w:val="both"/>
        <w:rPr>
          <w:rFonts w:cs="Times New Roman"/>
        </w:rPr>
      </w:pPr>
      <w:r w:rsidRPr="00637906">
        <w:rPr>
          <w:rFonts w:cs="Times New Roman"/>
        </w:rPr>
        <w:t>Khi công ty giải thể hoặc thanh lý, trái phiếu được ưu tiên thanh toán trước cổ phiếu.</w:t>
      </w:r>
    </w:p>
    <w:p w:rsidR="002A0E44" w:rsidRPr="00637906" w:rsidRDefault="002A0E44" w:rsidP="002A0E44">
      <w:pPr>
        <w:numPr>
          <w:ilvl w:val="0"/>
          <w:numId w:val="2"/>
        </w:numPr>
        <w:tabs>
          <w:tab w:val="num" w:pos="1077"/>
        </w:tabs>
        <w:spacing w:line="264" w:lineRule="auto"/>
        <w:ind w:left="0" w:firstLine="720"/>
        <w:jc w:val="both"/>
        <w:rPr>
          <w:rFonts w:cs="Times New Roman"/>
        </w:rPr>
      </w:pPr>
      <w:r w:rsidRPr="00637906">
        <w:rPr>
          <w:rFonts w:cs="Times New Roman"/>
        </w:rPr>
        <w:t xml:space="preserve">Có những điều kiện cụ thể kèm </w:t>
      </w:r>
      <w:proofErr w:type="gramStart"/>
      <w:r w:rsidRPr="00637906">
        <w:rPr>
          <w:rFonts w:cs="Times New Roman"/>
        </w:rPr>
        <w:t>theo</w:t>
      </w:r>
      <w:proofErr w:type="gramEnd"/>
      <w:r w:rsidRPr="00637906">
        <w:rPr>
          <w:rFonts w:cs="Times New Roman"/>
        </w:rPr>
        <w:t>, hoặc nhiều hình thức đảm bảo cho khoản vay.</w:t>
      </w:r>
    </w:p>
    <w:p w:rsidR="002A0E44" w:rsidRPr="003D1E86" w:rsidRDefault="002A0E44" w:rsidP="002A0E44">
      <w:pPr>
        <w:spacing w:line="264" w:lineRule="auto"/>
        <w:ind w:left="1080"/>
        <w:jc w:val="both"/>
        <w:rPr>
          <w:rFonts w:cs="Times New Roman"/>
          <w:b/>
        </w:rPr>
      </w:pPr>
      <w:r w:rsidRPr="003D1E86">
        <w:rPr>
          <w:rFonts w:cs="Times New Roman"/>
          <w:b/>
        </w:rPr>
        <w:t>Các loại trái phiếu doanh nghiệp:</w:t>
      </w:r>
    </w:p>
    <w:p w:rsidR="002A0E44" w:rsidRPr="00637906" w:rsidRDefault="002A0E44" w:rsidP="002A0E44">
      <w:pPr>
        <w:tabs>
          <w:tab w:val="num" w:pos="1077"/>
        </w:tabs>
        <w:spacing w:line="264" w:lineRule="auto"/>
        <w:jc w:val="both"/>
        <w:rPr>
          <w:rFonts w:cs="Times New Roman"/>
        </w:rPr>
      </w:pPr>
      <w:r>
        <w:rPr>
          <w:rFonts w:cs="Times New Roman"/>
        </w:rPr>
        <w:t>-</w:t>
      </w:r>
      <w:r w:rsidRPr="00637906">
        <w:rPr>
          <w:rFonts w:cs="Times New Roman"/>
        </w:rPr>
        <w:t xml:space="preserve">Trái phiếu thu nhập (Income Bonds): </w:t>
      </w:r>
      <w:r>
        <w:rPr>
          <w:rFonts w:cs="Times New Roman"/>
        </w:rPr>
        <w:t>đối với loại trái phiếu này việc thanh toán lãi phụ thuộc vào lợi nhuận hàng năm của công ty, loại này thường được phát hành khi công ty gặp khó khăn về tài chính hay cần huy động vốn đầu tư vào các dự án. Tuỳ theo lợi nhuận công ty thu được sẽ trả lãi cho trái chủ, tuy nhiên tỷ lệ lãi không lớn hơn lãi suất quy định trên trái phiếu, như vậy ta thấy loại trái phiếu này giống cổ phiếu ưu đãi nhưng khác ở chỗ tiền lãi trái phiếu được khấu trừ thuế còn lợi tức cổ phiếu ưu đãi thì không.</w:t>
      </w:r>
    </w:p>
    <w:p w:rsidR="002A0E44" w:rsidRPr="00637906" w:rsidRDefault="002A0E44" w:rsidP="002A0E44">
      <w:pPr>
        <w:tabs>
          <w:tab w:val="num" w:pos="1077"/>
        </w:tabs>
        <w:spacing w:line="264" w:lineRule="auto"/>
        <w:jc w:val="both"/>
        <w:rPr>
          <w:rFonts w:cs="Times New Roman"/>
        </w:rPr>
      </w:pPr>
      <w:r>
        <w:rPr>
          <w:rFonts w:cs="Times New Roman"/>
        </w:rPr>
        <w:t xml:space="preserve">- </w:t>
      </w:r>
      <w:r w:rsidRPr="00637906">
        <w:rPr>
          <w:rFonts w:cs="Times New Roman"/>
        </w:rPr>
        <w:t>Trái phiếu có thế chấp (Mortgage Bonds):</w:t>
      </w:r>
      <w:r>
        <w:rPr>
          <w:rFonts w:cs="Times New Roman"/>
        </w:rPr>
        <w:t xml:space="preserve"> đây là những trái phiếu được đảm bảo bằng tài sản thế chấp cụ thế, hoặc phát hành dưới sự bảo lãnh của một công ty hay ngân hang có uy tín lớn</w:t>
      </w:r>
      <w:proofErr w:type="gramStart"/>
      <w:r>
        <w:rPr>
          <w:rFonts w:cs="Times New Roman"/>
        </w:rPr>
        <w:t>,  các</w:t>
      </w:r>
      <w:proofErr w:type="gramEnd"/>
      <w:r>
        <w:rPr>
          <w:rFonts w:cs="Times New Roman"/>
        </w:rPr>
        <w:t xml:space="preserve"> trái chủ được bảo vệ ở một mức độ cao trong trường hợp công ty bị phá sản</w:t>
      </w:r>
    </w:p>
    <w:p w:rsidR="002A0E44" w:rsidRPr="00637906" w:rsidRDefault="002A0E44" w:rsidP="002A0E44">
      <w:pPr>
        <w:tabs>
          <w:tab w:val="num" w:pos="1077"/>
        </w:tabs>
        <w:spacing w:line="264" w:lineRule="auto"/>
        <w:jc w:val="both"/>
        <w:rPr>
          <w:rFonts w:cs="Times New Roman"/>
        </w:rPr>
      </w:pPr>
      <w:r>
        <w:rPr>
          <w:rFonts w:cs="Times New Roman"/>
        </w:rPr>
        <w:t xml:space="preserve">- </w:t>
      </w:r>
      <w:r w:rsidRPr="00637906">
        <w:rPr>
          <w:rFonts w:cs="Times New Roman"/>
        </w:rPr>
        <w:t>Trái phiếu không có thế chấp (Debenture):</w:t>
      </w:r>
      <w:r>
        <w:rPr>
          <w:rFonts w:cs="Times New Roman"/>
        </w:rPr>
        <w:t xml:space="preserve"> trái phiếu tín chấp, một số công ty lớn, có uy tín khi phát hành không cần tài sản đảm bảo.</w:t>
      </w:r>
    </w:p>
    <w:p w:rsidR="002A0E44" w:rsidRPr="00637906" w:rsidRDefault="002A0E44" w:rsidP="002A0E44">
      <w:pPr>
        <w:tabs>
          <w:tab w:val="num" w:pos="1077"/>
        </w:tabs>
        <w:spacing w:line="264" w:lineRule="auto"/>
        <w:jc w:val="both"/>
        <w:rPr>
          <w:rFonts w:cs="Times New Roman"/>
        </w:rPr>
      </w:pPr>
      <w:r>
        <w:rPr>
          <w:rFonts w:cs="Times New Roman"/>
        </w:rPr>
        <w:t xml:space="preserve">- </w:t>
      </w:r>
      <w:r w:rsidRPr="00637906">
        <w:rPr>
          <w:rFonts w:cs="Times New Roman"/>
        </w:rPr>
        <w:t>Trái phiếu có thể chuyển đổi (Convertible Bonds):</w:t>
      </w:r>
      <w:r>
        <w:rPr>
          <w:rFonts w:cs="Times New Roman"/>
        </w:rPr>
        <w:t xml:space="preserve"> cho phép người nắm giữ trái phiếu trong những điều kiện nào đó có thể chuyển đổi thành cổ phiếu thường </w:t>
      </w:r>
      <w:proofErr w:type="gramStart"/>
      <w:r>
        <w:rPr>
          <w:rFonts w:cs="Times New Roman"/>
        </w:rPr>
        <w:t>theo</w:t>
      </w:r>
      <w:proofErr w:type="gramEnd"/>
      <w:r>
        <w:rPr>
          <w:rFonts w:cs="Times New Roman"/>
        </w:rPr>
        <w:t xml:space="preserve"> một tỷ lệ và mức giá nhất định. </w:t>
      </w:r>
    </w:p>
    <w:p w:rsidR="002A0E44" w:rsidRPr="00637906" w:rsidRDefault="002A0E44" w:rsidP="002A0E44">
      <w:pPr>
        <w:spacing w:line="264" w:lineRule="auto"/>
        <w:ind w:firstLine="720"/>
        <w:jc w:val="both"/>
        <w:rPr>
          <w:rFonts w:cs="Times New Roman"/>
        </w:rPr>
      </w:pPr>
      <w:r w:rsidRPr="00637906">
        <w:rPr>
          <w:rFonts w:cs="Times New Roman"/>
        </w:rPr>
        <w:t xml:space="preserve">Đây là loại trái phiếu rất được ưa chuộng bởi vì khi giá cổ phiếu tăng cao trên thị trường người nắm giữ trái phiếu này sẽ thực hiện việc chuyển đổi và </w:t>
      </w:r>
      <w:proofErr w:type="gramStart"/>
      <w:r w:rsidRPr="00637906">
        <w:rPr>
          <w:rFonts w:cs="Times New Roman"/>
        </w:rPr>
        <w:t>thu</w:t>
      </w:r>
      <w:proofErr w:type="gramEnd"/>
      <w:r w:rsidRPr="00637906">
        <w:rPr>
          <w:rFonts w:cs="Times New Roman"/>
        </w:rPr>
        <w:t xml:space="preserve"> được những món lợi nhuận do chênh lệch giá.</w:t>
      </w:r>
    </w:p>
    <w:p w:rsidR="002A0E44" w:rsidRPr="00637906" w:rsidRDefault="002A0E44" w:rsidP="002A0E44">
      <w:pPr>
        <w:tabs>
          <w:tab w:val="num" w:pos="1077"/>
        </w:tabs>
        <w:spacing w:line="264" w:lineRule="auto"/>
        <w:jc w:val="both"/>
        <w:rPr>
          <w:rFonts w:cs="Times New Roman"/>
        </w:rPr>
      </w:pPr>
      <w:r>
        <w:rPr>
          <w:rFonts w:cs="Times New Roman"/>
        </w:rPr>
        <w:t xml:space="preserve">- </w:t>
      </w:r>
      <w:r w:rsidRPr="00637906">
        <w:rPr>
          <w:rFonts w:cs="Times New Roman"/>
        </w:rPr>
        <w:t>Trái phiếu có thể chuộc lại (Callable Bonds):</w:t>
      </w:r>
      <w:r>
        <w:rPr>
          <w:rFonts w:cs="Times New Roman"/>
        </w:rPr>
        <w:t xml:space="preserve"> là loại trái phiếu cho phép nhà phát hành trong những điều kiện nhất định có thể mua lại toán bộ hay một phần những trái phiếu đã phát hành, với giá mua lại thường cao hơn mệnh giá.</w:t>
      </w:r>
    </w:p>
    <w:p w:rsidR="002A0E44" w:rsidRPr="00637906" w:rsidRDefault="002A0E44" w:rsidP="002A0E44">
      <w:pPr>
        <w:tabs>
          <w:tab w:val="num" w:pos="1077"/>
        </w:tabs>
        <w:spacing w:line="264" w:lineRule="auto"/>
        <w:jc w:val="both"/>
        <w:rPr>
          <w:rFonts w:cs="Times New Roman"/>
        </w:rPr>
      </w:pPr>
      <w:r>
        <w:rPr>
          <w:rFonts w:cs="Times New Roman"/>
        </w:rPr>
        <w:t xml:space="preserve">- </w:t>
      </w:r>
      <w:r w:rsidRPr="00637906">
        <w:rPr>
          <w:rFonts w:cs="Times New Roman"/>
        </w:rPr>
        <w:t>Trái phiếu có lãi suất ổn định (straight Bonds):</w:t>
      </w:r>
      <w:r>
        <w:rPr>
          <w:rFonts w:cs="Times New Roman"/>
        </w:rPr>
        <w:t xml:space="preserve"> là loại trái phiếu truyền thống được phát hành ở tất cả các TTCK, với đặc điểm trả lãi suất ổn định </w:t>
      </w:r>
      <w:proofErr w:type="gramStart"/>
      <w:r>
        <w:rPr>
          <w:rFonts w:cs="Times New Roman"/>
        </w:rPr>
        <w:t>theo</w:t>
      </w:r>
      <w:proofErr w:type="gramEnd"/>
      <w:r>
        <w:rPr>
          <w:rFonts w:cs="Times New Roman"/>
        </w:rPr>
        <w:t xml:space="preserve"> định kỳ.</w:t>
      </w:r>
    </w:p>
    <w:p w:rsidR="002A0E44" w:rsidRPr="00637906" w:rsidRDefault="002A0E44" w:rsidP="002A0E44">
      <w:pPr>
        <w:tabs>
          <w:tab w:val="num" w:pos="1077"/>
        </w:tabs>
        <w:spacing w:line="264" w:lineRule="auto"/>
        <w:jc w:val="both"/>
        <w:rPr>
          <w:rFonts w:cs="Times New Roman"/>
        </w:rPr>
      </w:pPr>
      <w:r>
        <w:rPr>
          <w:rFonts w:cs="Times New Roman"/>
        </w:rPr>
        <w:t xml:space="preserve">- </w:t>
      </w:r>
      <w:r w:rsidRPr="00637906">
        <w:rPr>
          <w:rFonts w:cs="Times New Roman"/>
        </w:rPr>
        <w:t>Trái phiếu có lãi suất thả nỗi (Floating Rate Bonds):</w:t>
      </w:r>
      <w:r>
        <w:rPr>
          <w:rFonts w:cs="Times New Roman"/>
        </w:rPr>
        <w:t xml:space="preserve"> lãi suất được điều chỉnh theo sự thay đổi của lãi suất thị </w:t>
      </w:r>
      <w:proofErr w:type="gramStart"/>
      <w:r>
        <w:rPr>
          <w:rFonts w:cs="Times New Roman"/>
        </w:rPr>
        <w:t>trường ,</w:t>
      </w:r>
      <w:proofErr w:type="gramEnd"/>
      <w:r>
        <w:rPr>
          <w:rFonts w:cs="Times New Roman"/>
        </w:rPr>
        <w:t xml:space="preserve"> đặc điểm này đảm bảo được quyền lợi của nhà đầu tư cũng như DN khi thị trường tài chính không ổn định</w:t>
      </w:r>
    </w:p>
    <w:p w:rsidR="002A0E44" w:rsidRPr="00637906" w:rsidRDefault="002A0E44" w:rsidP="002A0E44">
      <w:pPr>
        <w:spacing w:line="264" w:lineRule="auto"/>
        <w:jc w:val="both"/>
        <w:rPr>
          <w:rFonts w:cs="Times New Roman"/>
        </w:rPr>
      </w:pPr>
      <w:r>
        <w:rPr>
          <w:rFonts w:cs="Times New Roman"/>
        </w:rPr>
        <w:t xml:space="preserve">- </w:t>
      </w:r>
      <w:r w:rsidRPr="00637906">
        <w:rPr>
          <w:rFonts w:cs="Times New Roman"/>
        </w:rPr>
        <w:t>Trái phiếu chiết khấu (Zero Coupon Bonds):</w:t>
      </w:r>
      <w:r>
        <w:rPr>
          <w:rFonts w:cs="Times New Roman"/>
        </w:rPr>
        <w:t xml:space="preserve"> là loại trái phiếu không t</w:t>
      </w:r>
      <w:r>
        <w:rPr>
          <w:rFonts w:cs="Times New Roman"/>
        </w:rPr>
        <w:t>rả lãi định kỳ./.</w:t>
      </w:r>
      <w:bookmarkStart w:id="0" w:name="_GoBack"/>
      <w:bookmarkEnd w:id="0"/>
    </w:p>
    <w:p w:rsidR="002A0E44" w:rsidRDefault="002A0E44" w:rsidP="002A0E44">
      <w:pPr>
        <w:spacing w:line="264" w:lineRule="auto"/>
        <w:jc w:val="both"/>
        <w:rPr>
          <w:lang w:val="nl-NL"/>
        </w:rPr>
      </w:pPr>
    </w:p>
    <w:sectPr w:rsidR="002A0E44" w:rsidSect="00F1316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S2 Sample Font">
    <w:altName w:val="Courier New"/>
    <w:charset w:val="00"/>
    <w:family w:val="roman"/>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B1F38"/>
    <w:multiLevelType w:val="hybridMultilevel"/>
    <w:tmpl w:val="5C06EA9A"/>
    <w:lvl w:ilvl="0" w:tplc="B11862FE">
      <w:start w:val="2"/>
      <w:numFmt w:val="bullet"/>
      <w:lvlText w:val="-"/>
      <w:lvlJc w:val="left"/>
      <w:pPr>
        <w:tabs>
          <w:tab w:val="num" w:pos="720"/>
        </w:tabs>
        <w:ind w:left="1077" w:hanging="357"/>
      </w:pPr>
      <w:rPr>
        <w:rFonts w:ascii="VS2 Sample Font" w:hAnsi="VS2 Sample Font" w:hint="default"/>
        <w:b w:val="0"/>
        <w:i w:val="0"/>
        <w:color w:val="auto"/>
        <w:sz w:val="26"/>
      </w:rPr>
    </w:lvl>
    <w:lvl w:ilvl="1" w:tplc="A274DEE4">
      <w:start w:val="2"/>
      <w:numFmt w:val="bullet"/>
      <w:lvlText w:val=""/>
      <w:lvlJc w:val="left"/>
      <w:pPr>
        <w:tabs>
          <w:tab w:val="num" w:pos="720"/>
        </w:tabs>
        <w:ind w:left="1077" w:hanging="357"/>
      </w:pPr>
      <w:rPr>
        <w:rFonts w:ascii="Symbol" w:hAnsi="Symbol" w:hint="default"/>
        <w:b w:val="0"/>
        <w:i w:val="0"/>
        <w:color w:val="auto"/>
        <w:sz w:val="2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4BC67FA"/>
    <w:multiLevelType w:val="hybridMultilevel"/>
    <w:tmpl w:val="5FEEB3D2"/>
    <w:lvl w:ilvl="0" w:tplc="0CAC7FDA">
      <w:start w:val="1"/>
      <w:numFmt w:val="bullet"/>
      <w:lvlText w:val="-"/>
      <w:lvlJc w:val="left"/>
      <w:pPr>
        <w:tabs>
          <w:tab w:val="num" w:pos="720"/>
        </w:tabs>
        <w:ind w:left="1077" w:hanging="35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ABA66D5"/>
    <w:multiLevelType w:val="multilevel"/>
    <w:tmpl w:val="A650B656"/>
    <w:lvl w:ilvl="0">
      <w:start w:val="1"/>
      <w:numFmt w:val="decimal"/>
      <w:lvlText w:val="%1."/>
      <w:lvlJc w:val="left"/>
      <w:pPr>
        <w:tabs>
          <w:tab w:val="num" w:pos="0"/>
        </w:tabs>
        <w:ind w:left="720" w:hanging="72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E44"/>
    <w:rsid w:val="002A0E44"/>
    <w:rsid w:val="008F5295"/>
    <w:rsid w:val="00F13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AD5C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E44"/>
    <w:rPr>
      <w:rFonts w:ascii="Times New Roman" w:eastAsia="Times New Roman" w:hAnsi="Times New Roman"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E44"/>
    <w:rPr>
      <w:rFonts w:ascii="Times New Roman" w:eastAsia="Times New Roman" w:hAnsi="Times New Roman"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1078</Words>
  <Characters>6148</Characters>
  <Application>Microsoft Macintosh Word</Application>
  <DocSecurity>0</DocSecurity>
  <Lines>51</Lines>
  <Paragraphs>14</Paragraphs>
  <ScaleCrop>false</ScaleCrop>
  <Company/>
  <LinksUpToDate>false</LinksUpToDate>
  <CharactersWithSpaces>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MACAIR</dc:creator>
  <cp:keywords/>
  <dc:description/>
  <cp:lastModifiedBy>MACAIR</cp:lastModifiedBy>
  <cp:revision>1</cp:revision>
  <dcterms:created xsi:type="dcterms:W3CDTF">2017-06-17T01:34:00Z</dcterms:created>
  <dcterms:modified xsi:type="dcterms:W3CDTF">2017-06-17T01:41:00Z</dcterms:modified>
</cp:coreProperties>
</file>