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57" w:rsidRPr="006E6D57" w:rsidRDefault="006E6D57" w:rsidP="00D920DC">
      <w:pPr>
        <w:pStyle w:val="Heading2"/>
        <w:spacing w:before="0" w:after="0" w:line="360" w:lineRule="auto"/>
        <w:jc w:val="center"/>
        <w:rPr>
          <w:rFonts w:ascii="Tahoma" w:hAnsi="Tahoma" w:cs="Tahoma"/>
          <w:sz w:val="20"/>
          <w:szCs w:val="20"/>
        </w:rPr>
      </w:pPr>
      <w:bookmarkStart w:id="0" w:name="_Toc24532016"/>
      <w:r>
        <w:rPr>
          <w:rFonts w:ascii="Tahoma" w:hAnsi="Tahoma" w:cs="Tahoma"/>
          <w:sz w:val="20"/>
          <w:szCs w:val="20"/>
        </w:rPr>
        <w:t>VẬN DỤNG HỆ THỐNG CHỈ SỐ ĐỂ PHÂN TÍCH HIỆN TƯỢNG</w:t>
      </w:r>
      <w:bookmarkEnd w:id="0"/>
    </w:p>
    <w:p w:rsidR="006E6D57" w:rsidRPr="00D920DC" w:rsidRDefault="006E6D57" w:rsidP="00D920DC">
      <w:pPr>
        <w:pStyle w:val="Heading3"/>
        <w:spacing w:before="0" w:after="0" w:line="360" w:lineRule="auto"/>
        <w:rPr>
          <w:rFonts w:ascii="Tahoma" w:hAnsi="Tahoma" w:cs="Tahoma"/>
          <w:i/>
          <w:sz w:val="20"/>
          <w:szCs w:val="20"/>
        </w:rPr>
      </w:pPr>
      <w:bookmarkStart w:id="1" w:name="_Toc24532017"/>
      <w:r w:rsidRPr="00D920DC">
        <w:rPr>
          <w:rFonts w:ascii="Tahoma" w:hAnsi="Tahoma" w:cs="Tahoma"/>
          <w:i/>
          <w:sz w:val="20"/>
          <w:szCs w:val="20"/>
        </w:rPr>
        <w:t xml:space="preserve">1.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Khái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niệm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và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tác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dụng</w:t>
      </w:r>
      <w:bookmarkEnd w:id="1"/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của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hệ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thống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chỉ</w:t>
      </w:r>
      <w:proofErr w:type="spellEnd"/>
      <w:r w:rsidRPr="00D920DC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D920DC">
        <w:rPr>
          <w:rFonts w:ascii="Tahoma" w:hAnsi="Tahoma" w:cs="Tahoma"/>
          <w:i/>
          <w:sz w:val="20"/>
          <w:szCs w:val="20"/>
        </w:rPr>
        <w:t>số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Tập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trở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mật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thiết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E6D57">
        <w:rPr>
          <w:rFonts w:ascii="Tahoma" w:hAnsi="Tahoma" w:cs="Tahoma"/>
          <w:sz w:val="20"/>
          <w:szCs w:val="20"/>
        </w:rPr>
        <w:t>thể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ở </w:t>
      </w:r>
      <w:proofErr w:type="spellStart"/>
      <w:r w:rsidRPr="006E6D57">
        <w:rPr>
          <w:rFonts w:ascii="Tahoma" w:hAnsi="Tahoma" w:cs="Tahoma"/>
          <w:sz w:val="20"/>
          <w:szCs w:val="20"/>
        </w:rPr>
        <w:t>dạng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tức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=) </w:t>
      </w:r>
      <w:proofErr w:type="spellStart"/>
      <w:r w:rsidRPr="006E6D57">
        <w:rPr>
          <w:rFonts w:ascii="Tahoma" w:hAnsi="Tahoma" w:cs="Tahoma"/>
          <w:sz w:val="20"/>
          <w:szCs w:val="20"/>
        </w:rPr>
        <w:t>gọi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.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Cơ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sở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thực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tế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giữa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thường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ở </w:t>
      </w:r>
      <w:proofErr w:type="spellStart"/>
      <w:r w:rsidRPr="006E6D57">
        <w:rPr>
          <w:rFonts w:ascii="Tahoma" w:hAnsi="Tahoma" w:cs="Tahoma"/>
          <w:sz w:val="20"/>
          <w:szCs w:val="20"/>
        </w:rPr>
        <w:t>dạng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như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=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lẻ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x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Từ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lập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(I</w:t>
      </w:r>
      <w:r w:rsidRPr="006E6D57">
        <w:rPr>
          <w:rFonts w:ascii="Tahoma" w:hAnsi="Tahoma" w:cs="Tahoma"/>
          <w:sz w:val="20"/>
          <w:szCs w:val="20"/>
          <w:vertAlign w:val="subscript"/>
        </w:rPr>
        <w:t>M</w:t>
      </w:r>
      <w:r w:rsidRPr="006E6D57">
        <w:rPr>
          <w:rFonts w:ascii="Tahoma" w:hAnsi="Tahoma" w:cs="Tahoma"/>
          <w:sz w:val="20"/>
          <w:szCs w:val="20"/>
        </w:rPr>
        <w:t xml:space="preserve">) =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) x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(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>)</w:t>
      </w:r>
    </w:p>
    <w:p w:rsidR="006E6D57" w:rsidRPr="006E6D57" w:rsidRDefault="006E6D57" w:rsidP="00D920DC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dụng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gồm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n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khi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n-1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ta </w:t>
      </w:r>
      <w:proofErr w:type="spellStart"/>
      <w:r w:rsidRPr="006E6D57">
        <w:rPr>
          <w:rFonts w:ascii="Tahoma" w:hAnsi="Tahoma" w:cs="Tahoma"/>
          <w:sz w:val="20"/>
          <w:szCs w:val="20"/>
        </w:rPr>
        <w:t>dể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còn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lại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Chẳng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hạn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E6D57">
        <w:rPr>
          <w:rFonts w:ascii="Tahoma" w:hAnsi="Tahoma" w:cs="Tahoma"/>
          <w:sz w:val="20"/>
          <w:szCs w:val="20"/>
        </w:rPr>
        <w:t>biết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 ta </w:t>
      </w:r>
      <w:proofErr w:type="spellStart"/>
      <w:r w:rsidRPr="006E6D57">
        <w:rPr>
          <w:rFonts w:ascii="Tahoma" w:hAnsi="Tahoma" w:cs="Tahoma"/>
          <w:sz w:val="20"/>
          <w:szCs w:val="20"/>
        </w:rPr>
        <w:t>tính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I</w:t>
      </w:r>
      <w:r w:rsidRPr="006E6D57">
        <w:rPr>
          <w:rFonts w:ascii="Tahoma" w:hAnsi="Tahoma" w:cs="Tahoma"/>
          <w:sz w:val="20"/>
          <w:szCs w:val="20"/>
          <w:vertAlign w:val="subscript"/>
        </w:rPr>
        <w:t>M</w:t>
      </w:r>
      <w:r w:rsidRPr="006E6D57">
        <w:rPr>
          <w:rFonts w:ascii="Tahoma" w:hAnsi="Tahoma" w:cs="Tahoma"/>
          <w:sz w:val="20"/>
          <w:szCs w:val="20"/>
        </w:rPr>
        <w:t>=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x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-  </w:t>
      </w:r>
      <w:proofErr w:type="spellStart"/>
      <w:r w:rsidRPr="006E6D57">
        <w:rPr>
          <w:rFonts w:ascii="Tahoma" w:hAnsi="Tahoma" w:cs="Tahoma"/>
          <w:sz w:val="20"/>
          <w:szCs w:val="20"/>
        </w:rPr>
        <w:t>Xác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định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vai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trò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mỗi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gồm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nhiều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qua </w:t>
      </w:r>
      <w:proofErr w:type="spellStart"/>
      <w:r w:rsidRPr="006E6D57">
        <w:rPr>
          <w:rFonts w:ascii="Tahoma" w:hAnsi="Tahoma" w:cs="Tahoma"/>
          <w:sz w:val="20"/>
          <w:szCs w:val="20"/>
        </w:rPr>
        <w:t>đó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đánh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dụng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chủ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yếu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chung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nhằm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tích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giữa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giải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thích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đúng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đắn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nguyên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triển</w:t>
      </w:r>
      <w:proofErr w:type="spellEnd"/>
      <w:r w:rsidRPr="006E6D57">
        <w:rPr>
          <w:rFonts w:ascii="Tahoma" w:hAnsi="Tahoma" w:cs="Tahoma"/>
          <w:sz w:val="20"/>
          <w:szCs w:val="20"/>
        </w:rPr>
        <w:t>.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i/>
          <w:sz w:val="20"/>
          <w:szCs w:val="20"/>
        </w:rPr>
        <w:t>Tóm</w:t>
      </w:r>
      <w:proofErr w:type="spellEnd"/>
      <w:r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i/>
          <w:sz w:val="20"/>
          <w:szCs w:val="20"/>
        </w:rPr>
        <w:t>lại</w:t>
      </w:r>
      <w:proofErr w:type="spellEnd"/>
      <w:r w:rsidRPr="006E6D57">
        <w:rPr>
          <w:rFonts w:ascii="Tahoma" w:hAnsi="Tahoma" w:cs="Tahoma"/>
          <w:b/>
          <w:i/>
          <w:sz w:val="20"/>
          <w:szCs w:val="20"/>
        </w:rPr>
        <w:t>:</w:t>
      </w:r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xây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sở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tích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giữa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kinh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tế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đó</w:t>
      </w:r>
      <w:proofErr w:type="spellEnd"/>
      <w:r w:rsidRPr="006E6D57">
        <w:rPr>
          <w:rFonts w:ascii="Tahoma" w:hAnsi="Tahoma" w:cs="Tahoma"/>
          <w:sz w:val="20"/>
          <w:szCs w:val="20"/>
        </w:rPr>
        <w:t>.</w:t>
      </w:r>
    </w:p>
    <w:p w:rsidR="006E6D57" w:rsidRPr="006E6D57" w:rsidRDefault="006E6D57" w:rsidP="00D920DC">
      <w:pPr>
        <w:pStyle w:val="Heading3"/>
        <w:spacing w:before="0" w:after="0" w:line="360" w:lineRule="auto"/>
        <w:rPr>
          <w:rFonts w:ascii="Tahoma" w:hAnsi="Tahoma" w:cs="Tahoma"/>
          <w:sz w:val="20"/>
          <w:szCs w:val="20"/>
        </w:rPr>
      </w:pPr>
      <w:bookmarkStart w:id="2" w:name="_Toc24532018"/>
      <w:r w:rsidRPr="006E6D57">
        <w:rPr>
          <w:rFonts w:ascii="Tahoma" w:hAnsi="Tahoma" w:cs="Tahoma"/>
          <w:sz w:val="20"/>
          <w:szCs w:val="20"/>
        </w:rPr>
        <w:t xml:space="preserve">2.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trường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  <w:bookmarkEnd w:id="2"/>
    </w:p>
    <w:p w:rsidR="006E6D57" w:rsidRPr="006E6D57" w:rsidRDefault="00D920DC" w:rsidP="00D920DC">
      <w:pPr>
        <w:spacing w:after="0" w:line="360" w:lineRule="auto"/>
        <w:ind w:firstLine="374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2.1</w:t>
      </w:r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.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Khi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cần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kết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hợp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các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chỉ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số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nhân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tố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Khi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suy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ra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pq</w:t>
      </w:r>
      <w:proofErr w:type="spellEnd"/>
    </w:p>
    <w:p w:rsidR="006E6D57" w:rsidRPr="006E6D57" w:rsidRDefault="006E6D57" w:rsidP="00D920DC">
      <w:pPr>
        <w:spacing w:after="0" w:line="360" w:lineRule="auto"/>
        <w:ind w:left="224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x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 =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pq</w:t>
      </w:r>
      <w:proofErr w:type="spellEnd"/>
    </w:p>
    <w:p w:rsidR="006E6D57" w:rsidRPr="006E6D57" w:rsidRDefault="006E6D57" w:rsidP="00D920DC">
      <w:pPr>
        <w:spacing w:after="0" w:line="360" w:lineRule="auto"/>
        <w:ind w:left="1122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32"/>
          <w:sz w:val="20"/>
          <w:szCs w:val="20"/>
        </w:rPr>
        <w:object w:dxaOrig="279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5pt;height:50.5pt" o:ole="">
            <v:imagedata r:id="rId7" o:title=""/>
          </v:shape>
          <o:OLEObject Type="Embed" ProgID="Equation.3" ShapeID="_x0000_i1025" DrawAspect="Content" ObjectID="_1679810905" r:id="rId8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left="748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4"/>
          <w:sz w:val="20"/>
          <w:szCs w:val="20"/>
        </w:rPr>
        <w:object w:dxaOrig="5820" w:dyaOrig="400">
          <v:shape id="_x0000_i1026" type="#_x0000_t75" style="width:366.5pt;height:25.5pt" o:ole="">
            <v:imagedata r:id="rId9" o:title=""/>
          </v:shape>
          <o:OLEObject Type="Embed" ProgID="Equation.3" ShapeID="_x0000_i1026" DrawAspect="Content" ObjectID="_1679810906" r:id="rId10"/>
        </w:object>
      </w:r>
    </w:p>
    <w:p w:rsidR="006E6D57" w:rsidRPr="006E6D57" w:rsidRDefault="00D920DC" w:rsidP="00D920DC">
      <w:pPr>
        <w:spacing w:after="0" w:line="360" w:lineRule="auto"/>
        <w:ind w:firstLine="374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2.2</w:t>
      </w:r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.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Khi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cần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phân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tích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chỉ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số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toàn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bộ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thành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các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chỉ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số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nhân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6E6D57" w:rsidRPr="006E6D57">
        <w:rPr>
          <w:rFonts w:ascii="Tahoma" w:hAnsi="Tahoma" w:cs="Tahoma"/>
          <w:b/>
          <w:i/>
          <w:sz w:val="20"/>
          <w:szCs w:val="20"/>
        </w:rPr>
        <w:t>tố</w:t>
      </w:r>
      <w:proofErr w:type="spellEnd"/>
      <w:r w:rsidR="006E6D57" w:rsidRPr="006E6D57">
        <w:rPr>
          <w:rFonts w:ascii="Tahoma" w:hAnsi="Tahoma" w:cs="Tahoma"/>
          <w:b/>
          <w:i/>
          <w:sz w:val="20"/>
          <w:szCs w:val="20"/>
        </w:rPr>
        <w:t>:</w:t>
      </w:r>
    </w:p>
    <w:p w:rsidR="006E6D57" w:rsidRPr="006E6D57" w:rsidRDefault="006E6D57" w:rsidP="00D920DC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i/>
          <w:iCs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i/>
          <w:iCs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i/>
          <w:iCs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i/>
          <w:i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i/>
          <w:iCs/>
          <w:sz w:val="20"/>
          <w:szCs w:val="20"/>
        </w:rPr>
        <w:t>hoàn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lẫn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đặc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điểm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sau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-  </w:t>
      </w:r>
      <w:proofErr w:type="spellStart"/>
      <w:r w:rsidRPr="006E6D57">
        <w:rPr>
          <w:rFonts w:ascii="Tahoma" w:hAnsi="Tahoma" w:cs="Tahoma"/>
          <w:sz w:val="20"/>
          <w:szCs w:val="20"/>
        </w:rPr>
        <w:t>Nếu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chịu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n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thì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n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- 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hoàn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coi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ý </w:t>
      </w:r>
      <w:proofErr w:type="spellStart"/>
      <w:r w:rsidRPr="006E6D57">
        <w:rPr>
          <w:rFonts w:ascii="Tahoma" w:hAnsi="Tahoma" w:cs="Tahoma"/>
          <w:sz w:val="20"/>
          <w:szCs w:val="20"/>
        </w:rPr>
        <w:t>nghĩa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6E6D57">
        <w:rPr>
          <w:rFonts w:ascii="Tahoma" w:hAnsi="Tahoma" w:cs="Tahoma"/>
          <w:sz w:val="20"/>
          <w:szCs w:val="20"/>
        </w:rPr>
        <w:t>đó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xây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quyền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Thông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thường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chất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quyền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bookmarkStart w:id="3" w:name="_GoBack"/>
      <w:bookmarkEnd w:id="3"/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ở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còn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quyền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ở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gốc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lastRenderedPageBreak/>
        <w:t xml:space="preserve">- 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nếu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chất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xếp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trước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xếp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thì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mẫu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đứng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trước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trùng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tử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đứng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6E6D57">
        <w:rPr>
          <w:rFonts w:ascii="Tahoma" w:hAnsi="Tahoma" w:cs="Tahoma"/>
          <w:sz w:val="20"/>
          <w:szCs w:val="20"/>
        </w:rPr>
        <w:t>đó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chúng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hình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khép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kín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Ví</w:t>
      </w:r>
      <w:proofErr w:type="spellEnd"/>
      <w:r w:rsidRPr="006E6D5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dụ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 </w:t>
      </w:r>
      <w:proofErr w:type="spellStart"/>
      <w:r w:rsidRPr="006E6D57">
        <w:rPr>
          <w:rFonts w:ascii="Tahoma" w:hAnsi="Tahoma" w:cs="Tahoma"/>
          <w:sz w:val="20"/>
          <w:szCs w:val="20"/>
        </w:rPr>
        <w:t>Nghiên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cứu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sự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về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chi </w:t>
      </w:r>
      <w:proofErr w:type="spellStart"/>
      <w:r w:rsidRPr="006E6D57">
        <w:rPr>
          <w:rFonts w:ascii="Tahoma" w:hAnsi="Tahoma" w:cs="Tahoma"/>
          <w:sz w:val="20"/>
          <w:szCs w:val="20"/>
        </w:rPr>
        <w:t>phí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xuất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6E6D57">
        <w:rPr>
          <w:rFonts w:ascii="Tahoma" w:hAnsi="Tahoma" w:cs="Tahoma"/>
          <w:sz w:val="20"/>
          <w:szCs w:val="20"/>
        </w:rPr>
        <w:t>sản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phẩm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 </w:t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zq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= 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z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x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 </w:t>
      </w:r>
    </w:p>
    <w:p w:rsidR="006E6D57" w:rsidRPr="006E6D57" w:rsidRDefault="006E6D57" w:rsidP="00D920DC">
      <w:pPr>
        <w:spacing w:after="0" w:line="360" w:lineRule="auto"/>
        <w:ind w:left="1122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32"/>
          <w:sz w:val="20"/>
          <w:szCs w:val="20"/>
        </w:rPr>
        <w:object w:dxaOrig="2700" w:dyaOrig="760">
          <v:shape id="_x0000_i1027" type="#_x0000_t75" style="width:230.5pt;height:52pt" o:ole="">
            <v:imagedata r:id="rId11" o:title=""/>
          </v:shape>
          <o:OLEObject Type="Embed" ProgID="Equation.3" ShapeID="_x0000_i1027" DrawAspect="Content" ObjectID="_1679810907" r:id="rId12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left="748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4"/>
          <w:sz w:val="20"/>
          <w:szCs w:val="20"/>
        </w:rPr>
        <w:object w:dxaOrig="5720" w:dyaOrig="400">
          <v:shape id="_x0000_i1028" type="#_x0000_t75" style="width:303.5pt;height:25.5pt" o:ole="">
            <v:imagedata r:id="rId13" o:title=""/>
          </v:shape>
          <o:OLEObject Type="Embed" ProgID="Equation.3" ShapeID="_x0000_i1028" DrawAspect="Content" ObjectID="_1679810908" r:id="rId14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Qua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giúp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ta </w:t>
      </w:r>
      <w:proofErr w:type="spellStart"/>
      <w:r w:rsidRPr="006E6D57">
        <w:rPr>
          <w:rFonts w:ascii="Tahoma" w:hAnsi="Tahoma" w:cs="Tahoma"/>
          <w:sz w:val="20"/>
          <w:szCs w:val="20"/>
        </w:rPr>
        <w:t>xác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định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từng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sự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chi </w:t>
      </w:r>
      <w:proofErr w:type="spellStart"/>
      <w:r w:rsidRPr="006E6D57">
        <w:rPr>
          <w:rFonts w:ascii="Tahoma" w:hAnsi="Tahoma" w:cs="Tahoma"/>
          <w:sz w:val="20"/>
          <w:szCs w:val="20"/>
        </w:rPr>
        <w:t>phí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xuất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xí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nghiệp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+ </w:t>
      </w:r>
      <w:proofErr w:type="spellStart"/>
      <w:r w:rsidRPr="006E6D57">
        <w:rPr>
          <w:rFonts w:ascii="Tahoma" w:hAnsi="Tahoma" w:cs="Tahoma"/>
          <w:sz w:val="20"/>
          <w:szCs w:val="20"/>
        </w:rPr>
        <w:t>Từ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quan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giữa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3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xây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doanh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thu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̣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hóa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=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lẻ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đơn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vị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hóa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0"/>
          <w:sz w:val="20"/>
          <w:szCs w:val="20"/>
        </w:rPr>
        <w:object w:dxaOrig="180" w:dyaOrig="340">
          <v:shape id="_x0000_i1029" type="#_x0000_t75" style="width:9pt;height:17pt" o:ole="">
            <v:imagedata r:id="rId15" o:title=""/>
          </v:shape>
          <o:OLEObject Type="Embed" ProgID="Equation.3" ShapeID="_x0000_i1029" DrawAspect="Content" ObjectID="_1679810909" r:id="rId16"/>
        </w:object>
      </w:r>
      <w:r w:rsidRPr="006E6D57">
        <w:rPr>
          <w:rFonts w:ascii="Tahoma" w:hAnsi="Tahoma" w:cs="Tahoma"/>
          <w:position w:val="-10"/>
          <w:sz w:val="20"/>
          <w:szCs w:val="20"/>
        </w:rPr>
        <w:object w:dxaOrig="180" w:dyaOrig="340">
          <v:shape id="_x0000_i1030" type="#_x0000_t75" style="width:9pt;height:17pt" o:ole="">
            <v:imagedata r:id="rId15" o:title=""/>
          </v:shape>
          <o:OLEObject Type="Embed" ProgID="Equation.3" ShapeID="_x0000_i1030" DrawAspect="Content" ObjectID="_1679810910" r:id="rId17"/>
        </w:objec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dthu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  <w:t xml:space="preserve">        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  </w:t>
      </w:r>
      <w:r w:rsidRPr="006E6D57">
        <w:rPr>
          <w:rFonts w:ascii="Tahoma" w:hAnsi="Tahoma" w:cs="Tahoma"/>
          <w:sz w:val="20"/>
          <w:szCs w:val="20"/>
        </w:rPr>
        <w:tab/>
        <w:t xml:space="preserve">          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      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  <w:t>=</w:t>
      </w:r>
      <w:r w:rsidRPr="006E6D57">
        <w:rPr>
          <w:rFonts w:ascii="Tahoma" w:hAnsi="Tahoma" w:cs="Tahoma"/>
          <w:sz w:val="20"/>
          <w:szCs w:val="20"/>
        </w:rPr>
        <w:tab/>
        <w:t xml:space="preserve">        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ab/>
        <w:t xml:space="preserve">    x</w:t>
      </w:r>
      <w:r w:rsidRPr="006E6D57">
        <w:rPr>
          <w:rFonts w:ascii="Tahoma" w:hAnsi="Tahoma" w:cs="Tahoma"/>
          <w:sz w:val="20"/>
          <w:szCs w:val="20"/>
        </w:rPr>
        <w:tab/>
        <w:t xml:space="preserve">     </w:t>
      </w:r>
      <w:proofErr w:type="spellStart"/>
      <w:r w:rsidRPr="006E6D57">
        <w:rPr>
          <w:rFonts w:ascii="Tahoma" w:hAnsi="Tahoma" w:cs="Tahoma"/>
          <w:sz w:val="20"/>
          <w:szCs w:val="20"/>
        </w:rPr>
        <w:t>khối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</w:p>
    <w:p w:rsidR="006E6D57" w:rsidRPr="006E6D57" w:rsidRDefault="006E6D57" w:rsidP="00D920DC">
      <w:pPr>
        <w:spacing w:after="0" w:line="360" w:lineRule="auto"/>
        <w:ind w:left="1870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>(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pq</w:t>
      </w:r>
      <w:proofErr w:type="spellEnd"/>
      <w:r w:rsidRPr="006E6D57">
        <w:rPr>
          <w:rFonts w:ascii="Tahoma" w:hAnsi="Tahoma" w:cs="Tahoma"/>
          <w:sz w:val="20"/>
          <w:szCs w:val="20"/>
        </w:rPr>
        <w:t>)  =</w:t>
      </w:r>
      <w:r w:rsidRPr="006E6D57">
        <w:rPr>
          <w:rFonts w:ascii="Tahoma" w:hAnsi="Tahoma" w:cs="Tahoma"/>
          <w:sz w:val="20"/>
          <w:szCs w:val="20"/>
        </w:rPr>
        <w:tab/>
        <w:t xml:space="preserve">   (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)  </w:t>
      </w:r>
      <w:r w:rsidRPr="006E6D57">
        <w:rPr>
          <w:rFonts w:ascii="Tahoma" w:hAnsi="Tahoma" w:cs="Tahoma"/>
          <w:sz w:val="20"/>
          <w:szCs w:val="20"/>
        </w:rPr>
        <w:tab/>
        <w:t>x   (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  <w:r w:rsidRPr="006E6D57">
        <w:rPr>
          <w:rFonts w:ascii="Tahoma" w:hAnsi="Tahoma" w:cs="Tahoma"/>
          <w:sz w:val="20"/>
          <w:szCs w:val="20"/>
        </w:rPr>
        <w:t>)</w:t>
      </w:r>
    </w:p>
    <w:p w:rsidR="006E6D57" w:rsidRPr="006E6D57" w:rsidRDefault="006E6D57" w:rsidP="00D920DC">
      <w:pPr>
        <w:spacing w:after="0" w:line="360" w:lineRule="auto"/>
        <w:ind w:left="1496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32"/>
          <w:sz w:val="20"/>
          <w:szCs w:val="20"/>
        </w:rPr>
        <w:object w:dxaOrig="2860" w:dyaOrig="760">
          <v:shape id="_x0000_i1031" type="#_x0000_t75" style="width:248pt;height:52.5pt" o:ole="">
            <v:imagedata r:id="rId18" o:title=""/>
          </v:shape>
          <o:OLEObject Type="Embed" ProgID="Equation.3" ShapeID="_x0000_i1031" DrawAspect="Content" ObjectID="_1679810911" r:id="rId19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</w:p>
    <w:p w:rsidR="006E6D57" w:rsidRPr="006E6D57" w:rsidRDefault="006E6D57" w:rsidP="00D920DC">
      <w:pPr>
        <w:spacing w:after="0" w:line="360" w:lineRule="auto"/>
        <w:ind w:left="1122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4"/>
          <w:sz w:val="20"/>
          <w:szCs w:val="20"/>
        </w:rPr>
        <w:object w:dxaOrig="5840" w:dyaOrig="400">
          <v:shape id="_x0000_i1032" type="#_x0000_t75" style="width:311.5pt;height:25.5pt" o:ole="">
            <v:imagedata r:id="rId20" o:title=""/>
          </v:shape>
          <o:OLEObject Type="Embed" ProgID="Equation.3" ShapeID="_x0000_i1032" DrawAspect="Content" ObjectID="_1679810912" r:id="rId21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Ví</w:t>
      </w:r>
      <w:proofErr w:type="spellEnd"/>
      <w:r w:rsidRPr="006E6D5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dụ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r w:rsidRPr="006E6D57">
        <w:rPr>
          <w:rFonts w:ascii="Tahoma" w:hAnsi="Tahoma" w:cs="Tahoma"/>
          <w:sz w:val="20"/>
          <w:szCs w:val="20"/>
        </w:rPr>
        <w:tab/>
        <w:t xml:space="preserve">Ta </w:t>
      </w:r>
      <w:proofErr w:type="spellStart"/>
      <w:r w:rsidRPr="006E6D57">
        <w:rPr>
          <w:rFonts w:ascii="Tahoma" w:hAnsi="Tahoma" w:cs="Tahoma"/>
          <w:sz w:val="20"/>
          <w:szCs w:val="20"/>
        </w:rPr>
        <w:t>xây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 =</w:t>
      </w:r>
      <w:proofErr w:type="gramEnd"/>
      <w:r w:rsidRPr="006E6D57">
        <w:rPr>
          <w:rFonts w:ascii="Tahoma" w:hAnsi="Tahoma" w:cs="Tahoma"/>
          <w:sz w:val="20"/>
          <w:szCs w:val="20"/>
        </w:rPr>
        <w:t xml:space="preserve">  NSLĐ x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</w:p>
    <w:p w:rsidR="006E6D57" w:rsidRPr="006E6D57" w:rsidRDefault="006E6D57" w:rsidP="00D920DC">
      <w:pPr>
        <w:spacing w:after="0" w:line="360" w:lineRule="auto"/>
        <w:ind w:left="1122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2"/>
          <w:sz w:val="20"/>
          <w:szCs w:val="20"/>
        </w:rPr>
        <w:object w:dxaOrig="1380" w:dyaOrig="360">
          <v:shape id="_x0000_i1033" type="#_x0000_t75" style="width:95.5pt;height:25pt" o:ole="">
            <v:imagedata r:id="rId22" o:title=""/>
          </v:shape>
          <o:OLEObject Type="Embed" ProgID="Equation.3" ShapeID="_x0000_i1033" DrawAspect="Content" ObjectID="_1679810913" r:id="rId23"/>
        </w:object>
      </w:r>
    </w:p>
    <w:p w:rsidR="006E6D57" w:rsidRPr="006E6D57" w:rsidRDefault="006E6D57" w:rsidP="00D920DC">
      <w:pPr>
        <w:spacing w:after="0" w:line="360" w:lineRule="auto"/>
        <w:ind w:left="748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32"/>
          <w:sz w:val="20"/>
          <w:szCs w:val="20"/>
        </w:rPr>
        <w:object w:dxaOrig="2940" w:dyaOrig="760">
          <v:shape id="_x0000_i1034" type="#_x0000_t75" style="width:249.5pt;height:47.5pt" o:ole="">
            <v:imagedata r:id="rId24" o:title=""/>
          </v:shape>
          <o:OLEObject Type="Embed" ProgID="Equation.3" ShapeID="_x0000_i1034" DrawAspect="Content" ObjectID="_1679810914" r:id="rId25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left="374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14"/>
          <w:sz w:val="20"/>
          <w:szCs w:val="20"/>
        </w:rPr>
        <w:object w:dxaOrig="6060" w:dyaOrig="400">
          <v:shape id="_x0000_i1035" type="#_x0000_t75" style="width:404.5pt;height:25pt" o:ole="">
            <v:imagedata r:id="rId26" o:title=""/>
          </v:shape>
          <o:OLEObject Type="Embed" ProgID="Equation.3" ShapeID="_x0000_i1035" DrawAspect="Content" ObjectID="_1679810915" r:id="rId27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giúp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ta </w:t>
      </w:r>
      <w:proofErr w:type="spellStart"/>
      <w:r w:rsidRPr="006E6D57">
        <w:rPr>
          <w:rFonts w:ascii="Tahoma" w:hAnsi="Tahoma" w:cs="Tahoma"/>
          <w:sz w:val="20"/>
          <w:szCs w:val="20"/>
        </w:rPr>
        <w:t>phân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tích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sự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thay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đổi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qua </w:t>
      </w:r>
      <w:proofErr w:type="spellStart"/>
      <w:r w:rsidRPr="006E6D57">
        <w:rPr>
          <w:rFonts w:ascii="Tahoma" w:hAnsi="Tahoma" w:cs="Tahoma"/>
          <w:sz w:val="20"/>
          <w:szCs w:val="20"/>
        </w:rPr>
        <w:t>hai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nghiên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cứu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bởi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hai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NSLĐ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Ví</w:t>
      </w:r>
      <w:proofErr w:type="spellEnd"/>
      <w:r w:rsidRPr="006E6D5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bCs/>
          <w:sz w:val="20"/>
          <w:szCs w:val="20"/>
        </w:rPr>
        <w:t>dụ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tài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liệu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về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tại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thị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trường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154"/>
        <w:gridCol w:w="1546"/>
        <w:gridCol w:w="1592"/>
        <w:gridCol w:w="1467"/>
        <w:gridCol w:w="1467"/>
      </w:tblGrid>
      <w:tr w:rsidR="006E6D57" w:rsidRPr="006E6D57" w:rsidTr="00AE0FF8">
        <w:trPr>
          <w:cantSplit/>
          <w:jc w:val="center"/>
        </w:trPr>
        <w:tc>
          <w:tcPr>
            <w:tcW w:w="1260" w:type="dxa"/>
            <w:vMerge w:val="restart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Tên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234" w:type="dxa"/>
            <w:vMerge w:val="restart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Đvt</w:t>
            </w:r>
            <w:proofErr w:type="spellEnd"/>
          </w:p>
        </w:tc>
        <w:tc>
          <w:tcPr>
            <w:tcW w:w="3382" w:type="dxa"/>
            <w:gridSpan w:val="2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Giá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bán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lẻ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đơn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vị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(1000đ)</w:t>
            </w:r>
          </w:p>
        </w:tc>
        <w:tc>
          <w:tcPr>
            <w:tcW w:w="3150" w:type="dxa"/>
            <w:gridSpan w:val="2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lượng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hàng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hoá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tiêu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thụ</w:t>
            </w:r>
            <w:proofErr w:type="spellEnd"/>
          </w:p>
        </w:tc>
      </w:tr>
      <w:tr w:rsidR="006E6D57" w:rsidRPr="006E6D57" w:rsidTr="00AE0FF8">
        <w:trPr>
          <w:cantSplit/>
          <w:jc w:val="center"/>
        </w:trPr>
        <w:tc>
          <w:tcPr>
            <w:tcW w:w="1260" w:type="dxa"/>
            <w:vMerge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kỳ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gốc</w:t>
            </w:r>
            <w:proofErr w:type="spellEnd"/>
          </w:p>
        </w:tc>
        <w:tc>
          <w:tcPr>
            <w:tcW w:w="1717" w:type="dxa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kỳ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báo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báo</w:t>
            </w:r>
            <w:proofErr w:type="spellEnd"/>
          </w:p>
        </w:tc>
        <w:tc>
          <w:tcPr>
            <w:tcW w:w="1575" w:type="dxa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kỳ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gốc</w:t>
            </w:r>
            <w:proofErr w:type="spellEnd"/>
          </w:p>
        </w:tc>
        <w:tc>
          <w:tcPr>
            <w:tcW w:w="1575" w:type="dxa"/>
            <w:shd w:val="clear" w:color="auto" w:fill="D9D9D9"/>
          </w:tcPr>
          <w:p w:rsidR="006E6D57" w:rsidRPr="006E6D57" w:rsidRDefault="006E6D57" w:rsidP="00D920DC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kỳ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báo</w:t>
            </w:r>
            <w:proofErr w:type="spellEnd"/>
            <w:r w:rsidRPr="006E6D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6D57">
              <w:rPr>
                <w:rFonts w:ascii="Tahoma" w:hAnsi="Tahoma" w:cs="Tahoma"/>
                <w:sz w:val="20"/>
                <w:szCs w:val="20"/>
              </w:rPr>
              <w:t>cáo</w:t>
            </w:r>
            <w:proofErr w:type="spellEnd"/>
          </w:p>
        </w:tc>
      </w:tr>
      <w:tr w:rsidR="006E6D57" w:rsidRPr="006E6D57" w:rsidTr="00AE0FF8">
        <w:trPr>
          <w:jc w:val="center"/>
        </w:trPr>
        <w:tc>
          <w:tcPr>
            <w:tcW w:w="1260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B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1234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met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lit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665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500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1000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717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450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1200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575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2000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1000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1575" w:type="dxa"/>
          </w:tcPr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2250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950</w:t>
            </w:r>
          </w:p>
          <w:p w:rsidR="006E6D57" w:rsidRPr="006E6D57" w:rsidRDefault="006E6D57" w:rsidP="00D920DC">
            <w:pPr>
              <w:spacing w:after="0" w:line="360" w:lineRule="auto"/>
              <w:ind w:firstLine="37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6D57">
              <w:rPr>
                <w:rFonts w:ascii="Tahoma" w:hAnsi="Tahoma" w:cs="Tahoma"/>
                <w:sz w:val="20"/>
                <w:szCs w:val="20"/>
              </w:rPr>
              <w:t>7200</w:t>
            </w:r>
          </w:p>
        </w:tc>
      </w:tr>
    </w:tbl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Vận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dụng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để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tích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dụng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 </w:t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pq</w:t>
      </w:r>
      <w:proofErr w:type="spellEnd"/>
      <w:r w:rsidRPr="006E6D57">
        <w:rPr>
          <w:rFonts w:ascii="Tahoma" w:hAnsi="Tahoma" w:cs="Tahoma"/>
          <w:sz w:val="20"/>
          <w:szCs w:val="20"/>
        </w:rPr>
        <w:t>=</w:t>
      </w:r>
      <w:proofErr w:type="spell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x </w:t>
      </w: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t>I</w:t>
      </w:r>
      <w:r w:rsidRPr="006E6D57">
        <w:rPr>
          <w:rFonts w:ascii="Tahoma" w:hAnsi="Tahoma" w:cs="Tahoma"/>
          <w:sz w:val="20"/>
          <w:szCs w:val="20"/>
          <w:vertAlign w:val="subscript"/>
        </w:rPr>
        <w:t>q</w:t>
      </w:r>
      <w:proofErr w:type="spellEnd"/>
      <w:proofErr w:type="gramEnd"/>
    </w:p>
    <w:p w:rsidR="006E6D57" w:rsidRPr="006E6D57" w:rsidRDefault="006E6D57" w:rsidP="00D920DC">
      <w:pPr>
        <w:spacing w:after="0" w:line="360" w:lineRule="auto"/>
        <w:ind w:left="1496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32"/>
          <w:sz w:val="20"/>
          <w:szCs w:val="20"/>
        </w:rPr>
        <w:object w:dxaOrig="2840" w:dyaOrig="760">
          <v:shape id="_x0000_i1036" type="#_x0000_t75" style="width:212pt;height:46.5pt" o:ole="">
            <v:imagedata r:id="rId28" o:title=""/>
          </v:shape>
          <o:OLEObject Type="Embed" ProgID="Equation.3" ShapeID="_x0000_i1036" DrawAspect="Content" ObjectID="_1679810916" r:id="rId29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position w:val="-56"/>
          <w:sz w:val="20"/>
          <w:szCs w:val="20"/>
        </w:rPr>
        <w:object w:dxaOrig="1939" w:dyaOrig="1240">
          <v:shape id="_x0000_i1037" type="#_x0000_t75" style="width:112pt;height:71.5pt" o:ole="">
            <v:imagedata r:id="rId30" o:title=""/>
          </v:shape>
          <o:OLEObject Type="Embed" ProgID="Equation.3" ShapeID="_x0000_i1037" DrawAspect="Content" ObjectID="_1679810917" r:id="rId31"/>
        </w:objec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Thay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liệu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HTCS </w:t>
      </w:r>
      <w:proofErr w:type="spellStart"/>
      <w:r w:rsidRPr="006E6D57">
        <w:rPr>
          <w:rFonts w:ascii="Tahoma" w:hAnsi="Tahoma" w:cs="Tahoma"/>
          <w:sz w:val="20"/>
          <w:szCs w:val="20"/>
        </w:rPr>
        <w:t>trên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left="1870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position w:val="-24"/>
          <w:sz w:val="20"/>
          <w:szCs w:val="20"/>
        </w:rPr>
        <w:object w:dxaOrig="3180" w:dyaOrig="620">
          <v:shape id="_x0000_i1038" type="#_x0000_t75" style="width:184pt;height:35.5pt" o:ole="">
            <v:imagedata r:id="rId32" o:title=""/>
          </v:shape>
          <o:OLEObject Type="Embed" ProgID="Equation.3" ShapeID="_x0000_i1038" DrawAspect="Content" ObjectID="_1679810918" r:id="rId33"/>
        </w:object>
      </w:r>
    </w:p>
    <w:p w:rsidR="006E6D57" w:rsidRPr="006E6D57" w:rsidRDefault="006E6D57" w:rsidP="00D920DC">
      <w:pPr>
        <w:spacing w:after="0" w:line="360" w:lineRule="auto"/>
        <w:ind w:left="2244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>1.307=1.161 x 1.126</w:t>
      </w:r>
    </w:p>
    <w:p w:rsidR="006E6D57" w:rsidRPr="006E6D57" w:rsidRDefault="006E6D57" w:rsidP="00D920DC">
      <w:pPr>
        <w:spacing w:after="0" w:line="360" w:lineRule="auto"/>
        <w:ind w:left="2244"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>130.7% = 116.1% x 112.6%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  <w:t>5752500-4400000</w:t>
      </w:r>
      <w:proofErr w:type="gramStart"/>
      <w:r w:rsidRPr="006E6D57">
        <w:rPr>
          <w:rFonts w:ascii="Tahoma" w:hAnsi="Tahoma" w:cs="Tahoma"/>
          <w:sz w:val="20"/>
          <w:szCs w:val="20"/>
        </w:rPr>
        <w:t>=(</w:t>
      </w:r>
      <w:proofErr w:type="gramEnd"/>
      <w:r w:rsidRPr="006E6D57">
        <w:rPr>
          <w:rFonts w:ascii="Tahoma" w:hAnsi="Tahoma" w:cs="Tahoma"/>
          <w:sz w:val="20"/>
          <w:szCs w:val="20"/>
        </w:rPr>
        <w:t>5752500-4955000) + (4955000-4400000)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  <w:t>+</w:t>
      </w:r>
      <w:proofErr w:type="gramStart"/>
      <w:r w:rsidRPr="006E6D57">
        <w:rPr>
          <w:rFonts w:ascii="Tahoma" w:hAnsi="Tahoma" w:cs="Tahoma"/>
          <w:sz w:val="20"/>
          <w:szCs w:val="20"/>
        </w:rPr>
        <w:t>1352500  =</w:t>
      </w:r>
      <w:proofErr w:type="gramEnd"/>
      <w:r w:rsidRPr="006E6D57">
        <w:rPr>
          <w:rFonts w:ascii="Tahoma" w:hAnsi="Tahoma" w:cs="Tahoma"/>
          <w:sz w:val="20"/>
          <w:szCs w:val="20"/>
        </w:rPr>
        <w:t xml:space="preserve">          +797500                 + 555000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nghĩa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130.7% so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gốc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30.7%),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1352500 đ, do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bởi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Do </w:t>
      </w:r>
      <w:proofErr w:type="spellStart"/>
      <w:r w:rsidRPr="006E6D57">
        <w:rPr>
          <w:rFonts w:ascii="Tahoma" w:hAnsi="Tahoma" w:cs="Tahoma"/>
          <w:sz w:val="20"/>
          <w:szCs w:val="20"/>
        </w:rPr>
        <w:t>giá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chung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gốc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116.1% 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16.1% </w:t>
      </w:r>
      <w:proofErr w:type="spellStart"/>
      <w:r w:rsidRPr="006E6D57">
        <w:rPr>
          <w:rFonts w:ascii="Tahoma" w:hAnsi="Tahoma" w:cs="Tahoma"/>
          <w:sz w:val="20"/>
          <w:szCs w:val="20"/>
        </w:rPr>
        <w:t>đã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797500đ</w:t>
      </w:r>
    </w:p>
    <w:p w:rsidR="006E6D57" w:rsidRPr="006E6D57" w:rsidRDefault="006E6D57" w:rsidP="00D920DC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Khối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so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gốc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bằng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112.6% (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12.6%) </w:t>
      </w:r>
      <w:proofErr w:type="spellStart"/>
      <w:r w:rsidRPr="006E6D57">
        <w:rPr>
          <w:rFonts w:ascii="Tahoma" w:hAnsi="Tahoma" w:cs="Tahoma"/>
          <w:sz w:val="20"/>
          <w:szCs w:val="20"/>
        </w:rPr>
        <w:t>làm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tổng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tiêu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thụ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hàng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hoá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tăng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555000đ</w:t>
      </w:r>
    </w:p>
    <w:p w:rsidR="006E6D57" w:rsidRPr="006E6D57" w:rsidRDefault="006E6D57" w:rsidP="00D920DC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riêng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biệt</w:t>
      </w:r>
      <w:proofErr w:type="spellEnd"/>
      <w:r w:rsidRPr="006E6D57">
        <w:rPr>
          <w:rFonts w:ascii="Tahoma" w:hAnsi="Tahoma" w:cs="Tahoma"/>
          <w:sz w:val="20"/>
          <w:szCs w:val="20"/>
        </w:rPr>
        <w:t>: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riêng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từng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phức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đồng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thời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ảnh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hưởng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cùng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cùng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động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lẫn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giữa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biết</w:t>
      </w:r>
      <w:proofErr w:type="spell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E6D57">
        <w:rPr>
          <w:rFonts w:ascii="Tahoma" w:hAnsi="Tahoma" w:cs="Tahoma"/>
          <w:b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sz w:val="20"/>
          <w:szCs w:val="20"/>
        </w:rPr>
        <w:t>này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sz w:val="20"/>
          <w:szCs w:val="20"/>
        </w:rPr>
        <w:t>đặc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proofErr w:type="gramStart"/>
      <w:r w:rsidRPr="006E6D57">
        <w:rPr>
          <w:rFonts w:ascii="Tahoma" w:hAnsi="Tahoma" w:cs="Tahoma"/>
          <w:b/>
          <w:sz w:val="20"/>
          <w:szCs w:val="20"/>
        </w:rPr>
        <w:t>điểm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:</w:t>
      </w:r>
      <w:proofErr w:type="gramEnd"/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Nếu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bởi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n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thì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trong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hệ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thống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r w:rsidRPr="006E6D57">
        <w:rPr>
          <w:rFonts w:ascii="Tahoma" w:hAnsi="Tahoma" w:cs="Tahoma"/>
          <w:sz w:val="20"/>
          <w:szCs w:val="20"/>
        </w:rPr>
        <w:softHyphen/>
        <w:t xml:space="preserve">n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hê</w:t>
      </w:r>
      <w:proofErr w:type="spellEnd"/>
      <w:r w:rsidRPr="006E6D57">
        <w:rPr>
          <w:rFonts w:ascii="Tahoma" w:hAnsi="Tahoma" w:cs="Tahoma"/>
          <w:sz w:val="20"/>
          <w:szCs w:val="20"/>
        </w:rPr>
        <w:t>̣</w:t>
      </w:r>
    </w:p>
    <w:p w:rsidR="006E6D57" w:rsidRPr="006E6D57" w:rsidRDefault="006E6D57" w:rsidP="00D920DC">
      <w:pPr>
        <w:spacing w:after="0" w:line="360" w:lineRule="auto"/>
        <w:ind w:firstLine="374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6E6D57">
        <w:rPr>
          <w:rFonts w:ascii="Tahoma" w:hAnsi="Tahoma" w:cs="Tahoma"/>
          <w:sz w:val="20"/>
          <w:szCs w:val="20"/>
        </w:rPr>
        <w:lastRenderedPageBreak/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này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coi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cấu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thành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hiện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tượng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ý </w:t>
      </w:r>
      <w:proofErr w:type="spellStart"/>
      <w:r w:rsidRPr="006E6D57">
        <w:rPr>
          <w:rFonts w:ascii="Tahoma" w:hAnsi="Tahoma" w:cs="Tahoma"/>
          <w:sz w:val="20"/>
          <w:szCs w:val="20"/>
        </w:rPr>
        <w:t>nghĩa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như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quyền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của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chỉ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nhân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tố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chọn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cùng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một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thời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thường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gốc</w:t>
      </w:r>
      <w:proofErr w:type="spellEnd"/>
      <w:r w:rsidRPr="006E6D57">
        <w:rPr>
          <w:rFonts w:ascii="Tahoma" w:hAnsi="Tahoma" w:cs="Tahoma"/>
          <w:sz w:val="20"/>
          <w:szCs w:val="20"/>
        </w:rPr>
        <w:t>.</w:t>
      </w:r>
      <w:proofErr w:type="gramEnd"/>
    </w:p>
    <w:p w:rsidR="006E6D57" w:rsidRPr="006E6D57" w:rsidRDefault="006E6D57" w:rsidP="00D920DC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360"/>
        <w:jc w:val="both"/>
        <w:rPr>
          <w:rFonts w:ascii="Tahoma" w:hAnsi="Tahoma" w:cs="Tahoma"/>
          <w:sz w:val="20"/>
          <w:szCs w:val="20"/>
        </w:rPr>
      </w:pPr>
      <w:proofErr w:type="spellStart"/>
      <w:r w:rsidRPr="006E6D57">
        <w:rPr>
          <w:rFonts w:ascii="Tahoma" w:hAnsi="Tahoma" w:cs="Tahoma"/>
          <w:b/>
          <w:sz w:val="20"/>
          <w:szCs w:val="20"/>
        </w:rPr>
        <w:t>Nhận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b/>
          <w:sz w:val="20"/>
          <w:szCs w:val="20"/>
        </w:rPr>
        <w:t>xét</w:t>
      </w:r>
      <w:proofErr w:type="spellEnd"/>
      <w:r w:rsidRPr="006E6D57">
        <w:rPr>
          <w:rFonts w:ascii="Tahoma" w:hAnsi="Tahoma" w:cs="Tahoma"/>
          <w:b/>
          <w:sz w:val="20"/>
          <w:szCs w:val="20"/>
        </w:rPr>
        <w:t xml:space="preserve">: </w:t>
      </w:r>
      <w:r w:rsidRPr="006E6D57">
        <w:rPr>
          <w:rFonts w:ascii="Tahoma" w:hAnsi="Tahoma" w:cs="Tahoma"/>
          <w:sz w:val="20"/>
          <w:szCs w:val="20"/>
        </w:rPr>
        <w:t xml:space="preserve">2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hoàn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riêng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biệt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nhằm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giải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quyết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E6D57">
        <w:rPr>
          <w:rFonts w:ascii="Tahoma" w:hAnsi="Tahoma" w:cs="Tahoma"/>
          <w:sz w:val="20"/>
          <w:szCs w:val="20"/>
        </w:rPr>
        <w:t>yêu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cầu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nghiên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cứu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kết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quả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cũng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tuy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chúng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không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hề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mâu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thuẩn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nhau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mà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còn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tác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dụng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bổ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sung </w:t>
      </w:r>
      <w:proofErr w:type="spellStart"/>
      <w:r w:rsidRPr="006E6D57">
        <w:rPr>
          <w:rFonts w:ascii="Tahoma" w:hAnsi="Tahoma" w:cs="Tahoma"/>
          <w:sz w:val="20"/>
          <w:szCs w:val="20"/>
        </w:rPr>
        <w:t>nhằm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giúp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cho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việc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nghiên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cứu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sâu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sắc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6E6D57">
        <w:rPr>
          <w:rFonts w:ascii="Tahoma" w:hAnsi="Tahoma" w:cs="Tahoma"/>
          <w:sz w:val="20"/>
          <w:szCs w:val="20"/>
        </w:rPr>
        <w:t>Trên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thực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tế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liên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hoàn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được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xem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là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phương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pháp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chủ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yếu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vì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nó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đơn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giản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và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phù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hợp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với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việc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tính</w:t>
      </w:r>
      <w:proofErr w:type="spellEnd"/>
      <w:r w:rsidRPr="006E6D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sz w:val="20"/>
          <w:szCs w:val="20"/>
        </w:rPr>
        <w:t>toán</w:t>
      </w:r>
      <w:proofErr w:type="spellEnd"/>
      <w:r w:rsidRPr="006E6D57">
        <w:rPr>
          <w:rFonts w:ascii="Tahoma" w:hAnsi="Tahoma" w:cs="Tahoma"/>
          <w:sz w:val="20"/>
          <w:szCs w:val="20"/>
        </w:rPr>
        <w:t>.</w:t>
      </w:r>
    </w:p>
    <w:p w:rsidR="003342A0" w:rsidRPr="006E6D57" w:rsidRDefault="003342A0" w:rsidP="00D920DC">
      <w:pPr>
        <w:spacing w:after="0" w:line="360" w:lineRule="auto"/>
        <w:ind w:left="2244" w:firstLine="374"/>
        <w:jc w:val="both"/>
        <w:rPr>
          <w:rFonts w:ascii="Tahoma" w:hAnsi="Tahoma" w:cs="Tahoma"/>
          <w:sz w:val="20"/>
          <w:szCs w:val="20"/>
        </w:rPr>
      </w:pPr>
    </w:p>
    <w:p w:rsidR="00CC332F" w:rsidRPr="006E6D57" w:rsidRDefault="00E30125" w:rsidP="00D920DC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r w:rsidRPr="006E6D57">
        <w:rPr>
          <w:rFonts w:ascii="Tahoma" w:hAnsi="Tahoma" w:cs="Tahoma"/>
          <w:sz w:val="20"/>
          <w:szCs w:val="20"/>
        </w:rPr>
        <w:tab/>
      </w:r>
      <w:proofErr w:type="spellStart"/>
      <w:r w:rsidRPr="006E6D57">
        <w:rPr>
          <w:rFonts w:ascii="Tahoma" w:hAnsi="Tahoma" w:cs="Tahoma"/>
          <w:i/>
          <w:sz w:val="20"/>
          <w:szCs w:val="20"/>
        </w:rPr>
        <w:t>Nguyễn</w:t>
      </w:r>
      <w:proofErr w:type="spellEnd"/>
      <w:r w:rsidRPr="006E6D5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i/>
          <w:sz w:val="20"/>
          <w:szCs w:val="20"/>
        </w:rPr>
        <w:t>Thị</w:t>
      </w:r>
      <w:proofErr w:type="spellEnd"/>
      <w:r w:rsidRPr="006E6D5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6E6D57">
        <w:rPr>
          <w:rFonts w:ascii="Tahoma" w:hAnsi="Tahoma" w:cs="Tahoma"/>
          <w:i/>
          <w:sz w:val="20"/>
          <w:szCs w:val="20"/>
        </w:rPr>
        <w:t>Tiến-Khoa</w:t>
      </w:r>
      <w:proofErr w:type="spellEnd"/>
      <w:r w:rsidRPr="006E6D57">
        <w:rPr>
          <w:rFonts w:ascii="Tahoma" w:hAnsi="Tahoma" w:cs="Tahoma"/>
          <w:i/>
          <w:sz w:val="20"/>
          <w:szCs w:val="20"/>
        </w:rPr>
        <w:t xml:space="preserve"> QTKD</w:t>
      </w:r>
    </w:p>
    <w:sectPr w:rsidR="00CC332F" w:rsidRPr="006E6D57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8C6"/>
    <w:multiLevelType w:val="hybridMultilevel"/>
    <w:tmpl w:val="214A5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B0DEA"/>
    <w:multiLevelType w:val="hybridMultilevel"/>
    <w:tmpl w:val="44A6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517914"/>
    <w:multiLevelType w:val="hybridMultilevel"/>
    <w:tmpl w:val="655E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2CAE"/>
    <w:multiLevelType w:val="hybridMultilevel"/>
    <w:tmpl w:val="B25033B2"/>
    <w:lvl w:ilvl="0" w:tplc="DA9AFD58"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>
    <w:nsid w:val="5FBB567F"/>
    <w:multiLevelType w:val="hybridMultilevel"/>
    <w:tmpl w:val="4B2C3472"/>
    <w:lvl w:ilvl="0" w:tplc="DA9AF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121D5"/>
    <w:multiLevelType w:val="hybridMultilevel"/>
    <w:tmpl w:val="952059BC"/>
    <w:lvl w:ilvl="0" w:tplc="AB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92EA9"/>
    <w:multiLevelType w:val="hybridMultilevel"/>
    <w:tmpl w:val="D05AA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54271"/>
    <w:multiLevelType w:val="hybridMultilevel"/>
    <w:tmpl w:val="3A1A5B04"/>
    <w:lvl w:ilvl="0" w:tplc="6AA4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65"/>
    <w:rsid w:val="000020F0"/>
    <w:rsid w:val="00013103"/>
    <w:rsid w:val="00016D49"/>
    <w:rsid w:val="00022BA5"/>
    <w:rsid w:val="00025399"/>
    <w:rsid w:val="0003315A"/>
    <w:rsid w:val="000339DC"/>
    <w:rsid w:val="000340F4"/>
    <w:rsid w:val="00043E38"/>
    <w:rsid w:val="000440F8"/>
    <w:rsid w:val="0005246C"/>
    <w:rsid w:val="00056AB7"/>
    <w:rsid w:val="000615CC"/>
    <w:rsid w:val="00067D69"/>
    <w:rsid w:val="00071BAD"/>
    <w:rsid w:val="000763EF"/>
    <w:rsid w:val="000774E0"/>
    <w:rsid w:val="00081183"/>
    <w:rsid w:val="00085DC5"/>
    <w:rsid w:val="00087139"/>
    <w:rsid w:val="00096126"/>
    <w:rsid w:val="000A1C55"/>
    <w:rsid w:val="000A2A41"/>
    <w:rsid w:val="000B476B"/>
    <w:rsid w:val="000C2155"/>
    <w:rsid w:val="000D3703"/>
    <w:rsid w:val="000E0433"/>
    <w:rsid w:val="000E2767"/>
    <w:rsid w:val="000E5200"/>
    <w:rsid w:val="000F5B9D"/>
    <w:rsid w:val="000F62B5"/>
    <w:rsid w:val="000F7349"/>
    <w:rsid w:val="00105F82"/>
    <w:rsid w:val="0010730C"/>
    <w:rsid w:val="001159D1"/>
    <w:rsid w:val="0011729B"/>
    <w:rsid w:val="00120765"/>
    <w:rsid w:val="00122287"/>
    <w:rsid w:val="001229AD"/>
    <w:rsid w:val="0013503A"/>
    <w:rsid w:val="00136382"/>
    <w:rsid w:val="00137656"/>
    <w:rsid w:val="001431E9"/>
    <w:rsid w:val="00144F29"/>
    <w:rsid w:val="001453D2"/>
    <w:rsid w:val="00145FD2"/>
    <w:rsid w:val="00147838"/>
    <w:rsid w:val="00155900"/>
    <w:rsid w:val="00160B35"/>
    <w:rsid w:val="00176998"/>
    <w:rsid w:val="001801EB"/>
    <w:rsid w:val="001821B8"/>
    <w:rsid w:val="00186A61"/>
    <w:rsid w:val="00186F65"/>
    <w:rsid w:val="001874BE"/>
    <w:rsid w:val="001875A8"/>
    <w:rsid w:val="001945E2"/>
    <w:rsid w:val="001964C7"/>
    <w:rsid w:val="00197055"/>
    <w:rsid w:val="001A1B2B"/>
    <w:rsid w:val="001A3154"/>
    <w:rsid w:val="001A6111"/>
    <w:rsid w:val="001B43CA"/>
    <w:rsid w:val="001C719B"/>
    <w:rsid w:val="001D1A37"/>
    <w:rsid w:val="001D7DC1"/>
    <w:rsid w:val="001E20A9"/>
    <w:rsid w:val="001F3094"/>
    <w:rsid w:val="00217A35"/>
    <w:rsid w:val="00227763"/>
    <w:rsid w:val="00236FB9"/>
    <w:rsid w:val="00240E6B"/>
    <w:rsid w:val="00242BB0"/>
    <w:rsid w:val="002608ED"/>
    <w:rsid w:val="002645E7"/>
    <w:rsid w:val="00270A96"/>
    <w:rsid w:val="0027256F"/>
    <w:rsid w:val="00273A6E"/>
    <w:rsid w:val="002760D6"/>
    <w:rsid w:val="002775B8"/>
    <w:rsid w:val="0028038C"/>
    <w:rsid w:val="002821C9"/>
    <w:rsid w:val="00282692"/>
    <w:rsid w:val="002836BE"/>
    <w:rsid w:val="00285469"/>
    <w:rsid w:val="002935FC"/>
    <w:rsid w:val="00293FC5"/>
    <w:rsid w:val="002940DE"/>
    <w:rsid w:val="00294702"/>
    <w:rsid w:val="002A4824"/>
    <w:rsid w:val="002B6184"/>
    <w:rsid w:val="002C2DFD"/>
    <w:rsid w:val="002C6193"/>
    <w:rsid w:val="002D04A3"/>
    <w:rsid w:val="002D0CFB"/>
    <w:rsid w:val="002D3E7E"/>
    <w:rsid w:val="002D4B85"/>
    <w:rsid w:val="002F3934"/>
    <w:rsid w:val="002F44A2"/>
    <w:rsid w:val="002F5F74"/>
    <w:rsid w:val="002F6F62"/>
    <w:rsid w:val="00302D16"/>
    <w:rsid w:val="00310CB4"/>
    <w:rsid w:val="003112C3"/>
    <w:rsid w:val="0031346D"/>
    <w:rsid w:val="00331DD7"/>
    <w:rsid w:val="003342A0"/>
    <w:rsid w:val="00334AA1"/>
    <w:rsid w:val="00335F53"/>
    <w:rsid w:val="003369C1"/>
    <w:rsid w:val="00336D96"/>
    <w:rsid w:val="003452F2"/>
    <w:rsid w:val="00345DD1"/>
    <w:rsid w:val="00353556"/>
    <w:rsid w:val="00353CF5"/>
    <w:rsid w:val="00355171"/>
    <w:rsid w:val="00355DD5"/>
    <w:rsid w:val="00356F07"/>
    <w:rsid w:val="003646A5"/>
    <w:rsid w:val="00375606"/>
    <w:rsid w:val="00375B18"/>
    <w:rsid w:val="003774B2"/>
    <w:rsid w:val="00382679"/>
    <w:rsid w:val="00390F64"/>
    <w:rsid w:val="00393CF2"/>
    <w:rsid w:val="00395AC3"/>
    <w:rsid w:val="0039685E"/>
    <w:rsid w:val="003A46DE"/>
    <w:rsid w:val="003A5FA9"/>
    <w:rsid w:val="003B3F73"/>
    <w:rsid w:val="003C3474"/>
    <w:rsid w:val="003C6B42"/>
    <w:rsid w:val="003C6DD2"/>
    <w:rsid w:val="003F1BAE"/>
    <w:rsid w:val="003F4941"/>
    <w:rsid w:val="003F6B18"/>
    <w:rsid w:val="003F74F7"/>
    <w:rsid w:val="00406A32"/>
    <w:rsid w:val="00410AAF"/>
    <w:rsid w:val="00414EB9"/>
    <w:rsid w:val="00420313"/>
    <w:rsid w:val="00422775"/>
    <w:rsid w:val="00426260"/>
    <w:rsid w:val="00430B0D"/>
    <w:rsid w:val="00446DDF"/>
    <w:rsid w:val="004510A1"/>
    <w:rsid w:val="004534F2"/>
    <w:rsid w:val="00462679"/>
    <w:rsid w:val="0046339A"/>
    <w:rsid w:val="004643B5"/>
    <w:rsid w:val="00465DDF"/>
    <w:rsid w:val="0047244B"/>
    <w:rsid w:val="00473EA0"/>
    <w:rsid w:val="0047789A"/>
    <w:rsid w:val="00483A95"/>
    <w:rsid w:val="00490D20"/>
    <w:rsid w:val="004920D9"/>
    <w:rsid w:val="004A0480"/>
    <w:rsid w:val="004A3902"/>
    <w:rsid w:val="004B7CC8"/>
    <w:rsid w:val="004C51F6"/>
    <w:rsid w:val="004C5658"/>
    <w:rsid w:val="004D3775"/>
    <w:rsid w:val="004E3A0B"/>
    <w:rsid w:val="00500B93"/>
    <w:rsid w:val="00503DC9"/>
    <w:rsid w:val="00506D2A"/>
    <w:rsid w:val="005164BD"/>
    <w:rsid w:val="005172F7"/>
    <w:rsid w:val="005173FF"/>
    <w:rsid w:val="00517880"/>
    <w:rsid w:val="00520CD9"/>
    <w:rsid w:val="00522949"/>
    <w:rsid w:val="00524A87"/>
    <w:rsid w:val="0052581B"/>
    <w:rsid w:val="0052608F"/>
    <w:rsid w:val="00527338"/>
    <w:rsid w:val="00530ADD"/>
    <w:rsid w:val="00531074"/>
    <w:rsid w:val="005363C9"/>
    <w:rsid w:val="00541669"/>
    <w:rsid w:val="005416C6"/>
    <w:rsid w:val="0055101A"/>
    <w:rsid w:val="00551362"/>
    <w:rsid w:val="005557C3"/>
    <w:rsid w:val="00560268"/>
    <w:rsid w:val="00560A48"/>
    <w:rsid w:val="005614A4"/>
    <w:rsid w:val="00561F1E"/>
    <w:rsid w:val="00564012"/>
    <w:rsid w:val="00566792"/>
    <w:rsid w:val="005673E7"/>
    <w:rsid w:val="005734BD"/>
    <w:rsid w:val="00573F85"/>
    <w:rsid w:val="0057602B"/>
    <w:rsid w:val="00576782"/>
    <w:rsid w:val="00582EFE"/>
    <w:rsid w:val="00585320"/>
    <w:rsid w:val="00590D91"/>
    <w:rsid w:val="00593B16"/>
    <w:rsid w:val="00595192"/>
    <w:rsid w:val="00596C2D"/>
    <w:rsid w:val="005B0847"/>
    <w:rsid w:val="005B0EEC"/>
    <w:rsid w:val="005B3D48"/>
    <w:rsid w:val="005B51A0"/>
    <w:rsid w:val="005B6D65"/>
    <w:rsid w:val="005B700C"/>
    <w:rsid w:val="005C51FD"/>
    <w:rsid w:val="005D278A"/>
    <w:rsid w:val="005D3E93"/>
    <w:rsid w:val="005E030D"/>
    <w:rsid w:val="005E08C5"/>
    <w:rsid w:val="005E101C"/>
    <w:rsid w:val="005E130E"/>
    <w:rsid w:val="005E30B8"/>
    <w:rsid w:val="005E3CB2"/>
    <w:rsid w:val="005F051C"/>
    <w:rsid w:val="005F27D3"/>
    <w:rsid w:val="005F53C6"/>
    <w:rsid w:val="005F5AAA"/>
    <w:rsid w:val="005F7815"/>
    <w:rsid w:val="00606AA5"/>
    <w:rsid w:val="00610E50"/>
    <w:rsid w:val="00620E23"/>
    <w:rsid w:val="006211BF"/>
    <w:rsid w:val="006213ED"/>
    <w:rsid w:val="00630F0A"/>
    <w:rsid w:val="0063319E"/>
    <w:rsid w:val="0063514F"/>
    <w:rsid w:val="00642C21"/>
    <w:rsid w:val="00644FEE"/>
    <w:rsid w:val="00647A5E"/>
    <w:rsid w:val="00650805"/>
    <w:rsid w:val="00651E70"/>
    <w:rsid w:val="0065434B"/>
    <w:rsid w:val="00655DDC"/>
    <w:rsid w:val="00655EC2"/>
    <w:rsid w:val="006560C8"/>
    <w:rsid w:val="00664373"/>
    <w:rsid w:val="00667C11"/>
    <w:rsid w:val="00667D96"/>
    <w:rsid w:val="006735DE"/>
    <w:rsid w:val="00682010"/>
    <w:rsid w:val="0068379C"/>
    <w:rsid w:val="00691AEE"/>
    <w:rsid w:val="006924D9"/>
    <w:rsid w:val="006A26BB"/>
    <w:rsid w:val="006A3A14"/>
    <w:rsid w:val="006A5489"/>
    <w:rsid w:val="006A6AA1"/>
    <w:rsid w:val="006B00E1"/>
    <w:rsid w:val="006B0192"/>
    <w:rsid w:val="006B0439"/>
    <w:rsid w:val="006B120B"/>
    <w:rsid w:val="006B3333"/>
    <w:rsid w:val="006B3462"/>
    <w:rsid w:val="006C233C"/>
    <w:rsid w:val="006D4DB9"/>
    <w:rsid w:val="006E2B31"/>
    <w:rsid w:val="006E3A72"/>
    <w:rsid w:val="006E4C90"/>
    <w:rsid w:val="006E6D57"/>
    <w:rsid w:val="006F04E1"/>
    <w:rsid w:val="006F0CA3"/>
    <w:rsid w:val="006F264E"/>
    <w:rsid w:val="006F3F93"/>
    <w:rsid w:val="006F4F71"/>
    <w:rsid w:val="007069F1"/>
    <w:rsid w:val="0070747B"/>
    <w:rsid w:val="00716838"/>
    <w:rsid w:val="00717D5B"/>
    <w:rsid w:val="0072133B"/>
    <w:rsid w:val="0072386D"/>
    <w:rsid w:val="00724D15"/>
    <w:rsid w:val="00726D25"/>
    <w:rsid w:val="00730492"/>
    <w:rsid w:val="007316C9"/>
    <w:rsid w:val="0074128F"/>
    <w:rsid w:val="0075307B"/>
    <w:rsid w:val="00757DE9"/>
    <w:rsid w:val="0076357E"/>
    <w:rsid w:val="00765053"/>
    <w:rsid w:val="00767EB8"/>
    <w:rsid w:val="00786593"/>
    <w:rsid w:val="00792167"/>
    <w:rsid w:val="00797DDF"/>
    <w:rsid w:val="007A7F3D"/>
    <w:rsid w:val="007B1D98"/>
    <w:rsid w:val="007B2FC1"/>
    <w:rsid w:val="007B6289"/>
    <w:rsid w:val="007B70E2"/>
    <w:rsid w:val="007C0A50"/>
    <w:rsid w:val="007C7A11"/>
    <w:rsid w:val="007C7EC7"/>
    <w:rsid w:val="007D0640"/>
    <w:rsid w:val="007E318F"/>
    <w:rsid w:val="007E66E1"/>
    <w:rsid w:val="007F286F"/>
    <w:rsid w:val="007F4C70"/>
    <w:rsid w:val="007F5102"/>
    <w:rsid w:val="007F6BF7"/>
    <w:rsid w:val="00803802"/>
    <w:rsid w:val="0080401E"/>
    <w:rsid w:val="00811ED7"/>
    <w:rsid w:val="008176BD"/>
    <w:rsid w:val="00823E9B"/>
    <w:rsid w:val="008324FE"/>
    <w:rsid w:val="0083299E"/>
    <w:rsid w:val="008359FB"/>
    <w:rsid w:val="0084204A"/>
    <w:rsid w:val="00844623"/>
    <w:rsid w:val="0084640A"/>
    <w:rsid w:val="0085466D"/>
    <w:rsid w:val="00855209"/>
    <w:rsid w:val="00855EEF"/>
    <w:rsid w:val="00857060"/>
    <w:rsid w:val="00865068"/>
    <w:rsid w:val="00883549"/>
    <w:rsid w:val="00885BB1"/>
    <w:rsid w:val="00887E04"/>
    <w:rsid w:val="008A3713"/>
    <w:rsid w:val="008A3B9E"/>
    <w:rsid w:val="008A6FA5"/>
    <w:rsid w:val="008B25F0"/>
    <w:rsid w:val="008B47B5"/>
    <w:rsid w:val="008C27C5"/>
    <w:rsid w:val="008C307F"/>
    <w:rsid w:val="008C575B"/>
    <w:rsid w:val="008C58E8"/>
    <w:rsid w:val="008D1155"/>
    <w:rsid w:val="008D7FEC"/>
    <w:rsid w:val="008E7199"/>
    <w:rsid w:val="008F46EA"/>
    <w:rsid w:val="008F5878"/>
    <w:rsid w:val="008F5DC1"/>
    <w:rsid w:val="0090081F"/>
    <w:rsid w:val="00901499"/>
    <w:rsid w:val="009029E8"/>
    <w:rsid w:val="00902C36"/>
    <w:rsid w:val="00907C50"/>
    <w:rsid w:val="009163B6"/>
    <w:rsid w:val="009208EA"/>
    <w:rsid w:val="0093022E"/>
    <w:rsid w:val="009311F6"/>
    <w:rsid w:val="00945B15"/>
    <w:rsid w:val="00947922"/>
    <w:rsid w:val="00950397"/>
    <w:rsid w:val="009513F5"/>
    <w:rsid w:val="0095729B"/>
    <w:rsid w:val="0096349E"/>
    <w:rsid w:val="00963777"/>
    <w:rsid w:val="00973381"/>
    <w:rsid w:val="0097669F"/>
    <w:rsid w:val="00981116"/>
    <w:rsid w:val="009811F4"/>
    <w:rsid w:val="0098160E"/>
    <w:rsid w:val="0098540D"/>
    <w:rsid w:val="00986310"/>
    <w:rsid w:val="00987F8B"/>
    <w:rsid w:val="00992C8F"/>
    <w:rsid w:val="009A007F"/>
    <w:rsid w:val="009A6E85"/>
    <w:rsid w:val="009B091E"/>
    <w:rsid w:val="009C089B"/>
    <w:rsid w:val="009C1E4A"/>
    <w:rsid w:val="009C322A"/>
    <w:rsid w:val="009C3A0C"/>
    <w:rsid w:val="009D1762"/>
    <w:rsid w:val="009D2035"/>
    <w:rsid w:val="009E178F"/>
    <w:rsid w:val="009E6775"/>
    <w:rsid w:val="009F041B"/>
    <w:rsid w:val="009F5551"/>
    <w:rsid w:val="00A02323"/>
    <w:rsid w:val="00A12665"/>
    <w:rsid w:val="00A1395A"/>
    <w:rsid w:val="00A17292"/>
    <w:rsid w:val="00A177A5"/>
    <w:rsid w:val="00A208FC"/>
    <w:rsid w:val="00A22039"/>
    <w:rsid w:val="00A26C44"/>
    <w:rsid w:val="00A32964"/>
    <w:rsid w:val="00A33ED8"/>
    <w:rsid w:val="00A349D0"/>
    <w:rsid w:val="00A36EF9"/>
    <w:rsid w:val="00A37265"/>
    <w:rsid w:val="00A4273A"/>
    <w:rsid w:val="00A44690"/>
    <w:rsid w:val="00A478CC"/>
    <w:rsid w:val="00A53DB8"/>
    <w:rsid w:val="00A54B03"/>
    <w:rsid w:val="00A60843"/>
    <w:rsid w:val="00A641E9"/>
    <w:rsid w:val="00A64B88"/>
    <w:rsid w:val="00A748BA"/>
    <w:rsid w:val="00A777AC"/>
    <w:rsid w:val="00A81CB0"/>
    <w:rsid w:val="00A83DA1"/>
    <w:rsid w:val="00A8589C"/>
    <w:rsid w:val="00A8593D"/>
    <w:rsid w:val="00A93B30"/>
    <w:rsid w:val="00A96CAD"/>
    <w:rsid w:val="00A96D4E"/>
    <w:rsid w:val="00AA22FB"/>
    <w:rsid w:val="00AA4527"/>
    <w:rsid w:val="00AA4988"/>
    <w:rsid w:val="00AB4C2B"/>
    <w:rsid w:val="00AB6A22"/>
    <w:rsid w:val="00AB7333"/>
    <w:rsid w:val="00AC66E1"/>
    <w:rsid w:val="00AD1006"/>
    <w:rsid w:val="00AD2FF6"/>
    <w:rsid w:val="00AD4BAF"/>
    <w:rsid w:val="00AD61A7"/>
    <w:rsid w:val="00AD7825"/>
    <w:rsid w:val="00AD7B72"/>
    <w:rsid w:val="00AF3978"/>
    <w:rsid w:val="00B02240"/>
    <w:rsid w:val="00B02266"/>
    <w:rsid w:val="00B048D9"/>
    <w:rsid w:val="00B05D7B"/>
    <w:rsid w:val="00B12DCA"/>
    <w:rsid w:val="00B14718"/>
    <w:rsid w:val="00B1645B"/>
    <w:rsid w:val="00B174E7"/>
    <w:rsid w:val="00B2616F"/>
    <w:rsid w:val="00B2726D"/>
    <w:rsid w:val="00B2749E"/>
    <w:rsid w:val="00B3587A"/>
    <w:rsid w:val="00B43BF7"/>
    <w:rsid w:val="00B4447A"/>
    <w:rsid w:val="00B451AD"/>
    <w:rsid w:val="00B576EB"/>
    <w:rsid w:val="00B61D3F"/>
    <w:rsid w:val="00B61FB4"/>
    <w:rsid w:val="00B64D3B"/>
    <w:rsid w:val="00B654C0"/>
    <w:rsid w:val="00B72FB2"/>
    <w:rsid w:val="00B76DDF"/>
    <w:rsid w:val="00B778B6"/>
    <w:rsid w:val="00B77C60"/>
    <w:rsid w:val="00B80A1A"/>
    <w:rsid w:val="00B82373"/>
    <w:rsid w:val="00B84554"/>
    <w:rsid w:val="00B87D83"/>
    <w:rsid w:val="00BA0EED"/>
    <w:rsid w:val="00BA3E93"/>
    <w:rsid w:val="00BA75CD"/>
    <w:rsid w:val="00BB1061"/>
    <w:rsid w:val="00BB12AE"/>
    <w:rsid w:val="00BB3343"/>
    <w:rsid w:val="00BC03CC"/>
    <w:rsid w:val="00BC2891"/>
    <w:rsid w:val="00BE1C87"/>
    <w:rsid w:val="00BE3480"/>
    <w:rsid w:val="00BF49C4"/>
    <w:rsid w:val="00BF5F36"/>
    <w:rsid w:val="00C00A72"/>
    <w:rsid w:val="00C0204F"/>
    <w:rsid w:val="00C077CD"/>
    <w:rsid w:val="00C129B5"/>
    <w:rsid w:val="00C146DA"/>
    <w:rsid w:val="00C1765A"/>
    <w:rsid w:val="00C21189"/>
    <w:rsid w:val="00C22041"/>
    <w:rsid w:val="00C27F03"/>
    <w:rsid w:val="00C33E44"/>
    <w:rsid w:val="00C34547"/>
    <w:rsid w:val="00C35FCD"/>
    <w:rsid w:val="00C379E2"/>
    <w:rsid w:val="00C44E31"/>
    <w:rsid w:val="00C542E2"/>
    <w:rsid w:val="00C62164"/>
    <w:rsid w:val="00C62F56"/>
    <w:rsid w:val="00C650C5"/>
    <w:rsid w:val="00C701EC"/>
    <w:rsid w:val="00C717A5"/>
    <w:rsid w:val="00C72C35"/>
    <w:rsid w:val="00C759FE"/>
    <w:rsid w:val="00C76B09"/>
    <w:rsid w:val="00C80529"/>
    <w:rsid w:val="00C807FD"/>
    <w:rsid w:val="00C81064"/>
    <w:rsid w:val="00C82022"/>
    <w:rsid w:val="00C846B0"/>
    <w:rsid w:val="00C864E8"/>
    <w:rsid w:val="00C91528"/>
    <w:rsid w:val="00C93678"/>
    <w:rsid w:val="00C95CC5"/>
    <w:rsid w:val="00CA27A5"/>
    <w:rsid w:val="00CA5B7A"/>
    <w:rsid w:val="00CB1965"/>
    <w:rsid w:val="00CB2BCD"/>
    <w:rsid w:val="00CC332F"/>
    <w:rsid w:val="00CC445B"/>
    <w:rsid w:val="00CD1F78"/>
    <w:rsid w:val="00CD6CA9"/>
    <w:rsid w:val="00CE2165"/>
    <w:rsid w:val="00CE3FBF"/>
    <w:rsid w:val="00CF03D0"/>
    <w:rsid w:val="00D01253"/>
    <w:rsid w:val="00D01CB0"/>
    <w:rsid w:val="00D0352C"/>
    <w:rsid w:val="00D03D60"/>
    <w:rsid w:val="00D05A42"/>
    <w:rsid w:val="00D05C49"/>
    <w:rsid w:val="00D15B44"/>
    <w:rsid w:val="00D3026E"/>
    <w:rsid w:val="00D30A6A"/>
    <w:rsid w:val="00D32F41"/>
    <w:rsid w:val="00D333AF"/>
    <w:rsid w:val="00D436A1"/>
    <w:rsid w:val="00D4480F"/>
    <w:rsid w:val="00D44D8A"/>
    <w:rsid w:val="00D6241E"/>
    <w:rsid w:val="00D6679B"/>
    <w:rsid w:val="00D73BFA"/>
    <w:rsid w:val="00D75387"/>
    <w:rsid w:val="00D77E31"/>
    <w:rsid w:val="00D85201"/>
    <w:rsid w:val="00D859EE"/>
    <w:rsid w:val="00D920DC"/>
    <w:rsid w:val="00D95024"/>
    <w:rsid w:val="00D9608B"/>
    <w:rsid w:val="00DA4490"/>
    <w:rsid w:val="00DB0E49"/>
    <w:rsid w:val="00DB1271"/>
    <w:rsid w:val="00DB1C68"/>
    <w:rsid w:val="00DB25F4"/>
    <w:rsid w:val="00DC2C38"/>
    <w:rsid w:val="00DD5B8A"/>
    <w:rsid w:val="00DD6093"/>
    <w:rsid w:val="00DE0F2B"/>
    <w:rsid w:val="00DE1A77"/>
    <w:rsid w:val="00DE6006"/>
    <w:rsid w:val="00DE6537"/>
    <w:rsid w:val="00DE66BE"/>
    <w:rsid w:val="00DF2159"/>
    <w:rsid w:val="00DF61AB"/>
    <w:rsid w:val="00DF701C"/>
    <w:rsid w:val="00E046C7"/>
    <w:rsid w:val="00E10DB8"/>
    <w:rsid w:val="00E16422"/>
    <w:rsid w:val="00E25A0F"/>
    <w:rsid w:val="00E26F2B"/>
    <w:rsid w:val="00E27815"/>
    <w:rsid w:val="00E30125"/>
    <w:rsid w:val="00E3157E"/>
    <w:rsid w:val="00E4281D"/>
    <w:rsid w:val="00E43031"/>
    <w:rsid w:val="00E44C39"/>
    <w:rsid w:val="00E5054F"/>
    <w:rsid w:val="00E538E4"/>
    <w:rsid w:val="00E54D67"/>
    <w:rsid w:val="00E63004"/>
    <w:rsid w:val="00E63B5C"/>
    <w:rsid w:val="00E64D0C"/>
    <w:rsid w:val="00E6756D"/>
    <w:rsid w:val="00E711FF"/>
    <w:rsid w:val="00E73586"/>
    <w:rsid w:val="00E74370"/>
    <w:rsid w:val="00E74FF8"/>
    <w:rsid w:val="00E76D0A"/>
    <w:rsid w:val="00E81814"/>
    <w:rsid w:val="00E81C40"/>
    <w:rsid w:val="00E86810"/>
    <w:rsid w:val="00E90C4C"/>
    <w:rsid w:val="00E9464B"/>
    <w:rsid w:val="00EA1565"/>
    <w:rsid w:val="00EA4B50"/>
    <w:rsid w:val="00EB22AD"/>
    <w:rsid w:val="00EC29B9"/>
    <w:rsid w:val="00EC4DA3"/>
    <w:rsid w:val="00EF3B12"/>
    <w:rsid w:val="00F054D5"/>
    <w:rsid w:val="00F0684B"/>
    <w:rsid w:val="00F074E0"/>
    <w:rsid w:val="00F07DEF"/>
    <w:rsid w:val="00F20933"/>
    <w:rsid w:val="00F33532"/>
    <w:rsid w:val="00F3439A"/>
    <w:rsid w:val="00F351D5"/>
    <w:rsid w:val="00F406EA"/>
    <w:rsid w:val="00F53873"/>
    <w:rsid w:val="00F62D7D"/>
    <w:rsid w:val="00F70F3B"/>
    <w:rsid w:val="00F736F0"/>
    <w:rsid w:val="00F814B4"/>
    <w:rsid w:val="00F866D4"/>
    <w:rsid w:val="00F914C2"/>
    <w:rsid w:val="00F96BA5"/>
    <w:rsid w:val="00F96D4C"/>
    <w:rsid w:val="00FA223F"/>
    <w:rsid w:val="00FA5B1E"/>
    <w:rsid w:val="00FB3BAF"/>
    <w:rsid w:val="00FC7C67"/>
    <w:rsid w:val="00FD7578"/>
    <w:rsid w:val="00FE026D"/>
    <w:rsid w:val="00FE1402"/>
    <w:rsid w:val="00FE2546"/>
    <w:rsid w:val="00FE296B"/>
    <w:rsid w:val="00FE2AC2"/>
    <w:rsid w:val="00FE5EA3"/>
    <w:rsid w:val="00FF2BBF"/>
    <w:rsid w:val="00FF4C84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192"/>
    <w:pPr>
      <w:spacing w:before="120" w:after="120" w:line="240" w:lineRule="auto"/>
      <w:jc w:val="both"/>
      <w:outlineLvl w:val="1"/>
    </w:pPr>
    <w:rPr>
      <w:rFonts w:eastAsia="Times New Roman" w:cs="Times New Roman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192"/>
    <w:pPr>
      <w:keepNext/>
      <w:tabs>
        <w:tab w:val="num" w:pos="2160"/>
      </w:tabs>
      <w:spacing w:before="120" w:after="120" w:line="240" w:lineRule="auto"/>
      <w:jc w:val="both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192"/>
    <w:rPr>
      <w:rFonts w:eastAsia="Times New Roman" w:cs="Times New Roma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5192"/>
    <w:rPr>
      <w:rFonts w:eastAsia="Times New Roman" w:cs="Times New Roman"/>
      <w:b/>
      <w:bCs/>
      <w:sz w:val="26"/>
      <w:szCs w:val="26"/>
    </w:rPr>
  </w:style>
  <w:style w:type="paragraph" w:customStyle="1" w:styleId="StyleHeading2Arial">
    <w:name w:val="Style Heading 2 + Arial"/>
    <w:basedOn w:val="Heading2"/>
    <w:autoRedefine/>
    <w:rsid w:val="006924D9"/>
    <w:pPr>
      <w:keepNext/>
      <w:shd w:val="clear" w:color="auto" w:fill="C0C0C0"/>
      <w:spacing w:before="240" w:after="60"/>
    </w:pPr>
    <w:rPr>
      <w:sz w:val="28"/>
      <w:szCs w:val="27"/>
    </w:rPr>
  </w:style>
  <w:style w:type="character" w:styleId="Hyperlink">
    <w:name w:val="Hyperlink"/>
    <w:uiPriority w:val="99"/>
    <w:rsid w:val="005602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0268"/>
  </w:style>
  <w:style w:type="paragraph" w:styleId="ListParagraph">
    <w:name w:val="List Paragraph"/>
    <w:basedOn w:val="Normal"/>
    <w:uiPriority w:val="34"/>
    <w:qFormat/>
    <w:rsid w:val="00560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5192"/>
    <w:pPr>
      <w:spacing w:before="120" w:after="120" w:line="240" w:lineRule="auto"/>
      <w:jc w:val="both"/>
      <w:outlineLvl w:val="1"/>
    </w:pPr>
    <w:rPr>
      <w:rFonts w:eastAsia="Times New Roman" w:cs="Times New Roman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192"/>
    <w:pPr>
      <w:keepNext/>
      <w:tabs>
        <w:tab w:val="num" w:pos="2160"/>
      </w:tabs>
      <w:spacing w:before="120" w:after="120" w:line="240" w:lineRule="auto"/>
      <w:jc w:val="both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5192"/>
    <w:rPr>
      <w:rFonts w:eastAsia="Times New Roman" w:cs="Times New Roma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5192"/>
    <w:rPr>
      <w:rFonts w:eastAsia="Times New Roman" w:cs="Times New Roman"/>
      <w:b/>
      <w:bCs/>
      <w:sz w:val="26"/>
      <w:szCs w:val="26"/>
    </w:rPr>
  </w:style>
  <w:style w:type="paragraph" w:customStyle="1" w:styleId="StyleHeading2Arial">
    <w:name w:val="Style Heading 2 + Arial"/>
    <w:basedOn w:val="Heading2"/>
    <w:autoRedefine/>
    <w:rsid w:val="006924D9"/>
    <w:pPr>
      <w:keepNext/>
      <w:shd w:val="clear" w:color="auto" w:fill="C0C0C0"/>
      <w:spacing w:before="240" w:after="60"/>
    </w:pPr>
    <w:rPr>
      <w:sz w:val="28"/>
      <w:szCs w:val="27"/>
    </w:rPr>
  </w:style>
  <w:style w:type="character" w:styleId="Hyperlink">
    <w:name w:val="Hyperlink"/>
    <w:uiPriority w:val="99"/>
    <w:rsid w:val="005602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60268"/>
  </w:style>
  <w:style w:type="paragraph" w:styleId="ListParagraph">
    <w:name w:val="List Paragraph"/>
    <w:basedOn w:val="Normal"/>
    <w:uiPriority w:val="34"/>
    <w:qFormat/>
    <w:rsid w:val="00560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C134-99AE-40EA-B9F1-EDDFE32C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Tien</cp:lastModifiedBy>
  <cp:revision>3</cp:revision>
  <dcterms:created xsi:type="dcterms:W3CDTF">2021-04-10T10:55:00Z</dcterms:created>
  <dcterms:modified xsi:type="dcterms:W3CDTF">2021-04-13T02:22:00Z</dcterms:modified>
</cp:coreProperties>
</file>