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E0" w:rsidRPr="002A4A53" w:rsidRDefault="002B30E0" w:rsidP="002B30E0">
      <w:pPr>
        <w:spacing w:line="360" w:lineRule="auto"/>
        <w:jc w:val="both"/>
        <w:rPr>
          <w:b/>
        </w:rPr>
      </w:pPr>
      <w:r w:rsidRPr="002A4A53">
        <w:rPr>
          <w:b/>
        </w:rPr>
        <w:t>XÁC ĐỊNH XÁC SUẤT VỠ NỢ TRUNG HÒA RỦ</w:t>
      </w:r>
      <w:r w:rsidRPr="002A4A53">
        <w:rPr>
          <w:b/>
        </w:rPr>
        <w:t>I RO (Phầ</w:t>
      </w:r>
      <w:r>
        <w:rPr>
          <w:b/>
        </w:rPr>
        <w:t>n 2</w:t>
      </w:r>
      <w:r w:rsidRPr="002A4A53">
        <w:rPr>
          <w:b/>
        </w:rPr>
        <w:t>)</w:t>
      </w:r>
    </w:p>
    <w:p w:rsidR="002B30E0" w:rsidRPr="00DF2897" w:rsidRDefault="002B30E0" w:rsidP="002B30E0">
      <w:pPr>
        <w:spacing w:line="360" w:lineRule="auto"/>
        <w:ind w:firstLine="720"/>
        <w:jc w:val="both"/>
      </w:pPr>
      <w:r w:rsidRPr="002A4A53">
        <w:t>X</w:t>
      </w:r>
      <w:r w:rsidRPr="00DF2897">
        <w:t>ác suất vỡ nợ PD không cố định mà thay đổi theo thời gian, do đó, chúng ta có thể xem xác suất vỡ nợ là PD(t). Nếu chúng ta chuyển đổi phương trình (5.3) với thời gian khác nhau, vẫn giả định một tỷ lệ thu hồi bằng 0, chúng ta có:</w:t>
      </w:r>
    </w:p>
    <w:p w:rsidR="002B30E0" w:rsidRPr="00DF2897" w:rsidRDefault="002B30E0" w:rsidP="002B30E0">
      <w:pPr>
        <w:spacing w:line="360" w:lineRule="auto"/>
        <w:jc w:val="center"/>
      </w:pPr>
      <w:r w:rsidRPr="00DF2897">
        <w:t>y = r + PD(t) (5.4)</w:t>
      </w:r>
    </w:p>
    <w:p w:rsidR="002B30E0" w:rsidRPr="00DF2897" w:rsidRDefault="002B30E0" w:rsidP="002B30E0">
      <w:pPr>
        <w:spacing w:line="360" w:lineRule="auto"/>
        <w:jc w:val="both"/>
      </w:pPr>
      <w:r w:rsidRPr="00DF2897">
        <w:t xml:space="preserve">Hay là, lãi suất trên </w:t>
      </w:r>
      <w:r>
        <w:t>khoản nợ rủi ro bao gồm lãi suất</w:t>
      </w:r>
      <w:r w:rsidRPr="00DF2897">
        <w:t xml:space="preserve"> phi rủi ro cộng với một khoản chênh lệch tín dụng bằng với xác suất vỡ nợ tại bất kỳ điểm nào trong thời gian t nơi PD(t) là mức độ tỷ lệ vỡ nợ ngẫu nhiên. </w:t>
      </w:r>
    </w:p>
    <w:p w:rsidR="002B30E0" w:rsidRPr="00DF2897" w:rsidRDefault="002B30E0" w:rsidP="002B30E0">
      <w:pPr>
        <w:spacing w:line="360" w:lineRule="auto"/>
        <w:jc w:val="both"/>
      </w:pPr>
    </w:p>
    <w:p w:rsidR="002B30E0" w:rsidRPr="00DF2897" w:rsidRDefault="007922F9" w:rsidP="002B30E0">
      <w:pPr>
        <w:spacing w:line="360" w:lineRule="auto"/>
        <w:jc w:val="center"/>
      </w:pPr>
      <w:r w:rsidRPr="00DF2897">
        <w:rPr>
          <w:noProof/>
          <w:lang w:eastAsia="vi-VN"/>
        </w:rPr>
        <w:drawing>
          <wp:inline distT="0" distB="0" distL="0" distR="0">
            <wp:extent cx="4095750" cy="2695575"/>
            <wp:effectExtent l="0" t="0" r="0" b="9525"/>
            <wp:docPr id="1" name="Picture 1" descr="C:\Users\PC\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inline>
        </w:drawing>
      </w:r>
    </w:p>
    <w:p w:rsidR="002B30E0" w:rsidRPr="00DF2897" w:rsidRDefault="002B30E0" w:rsidP="002B30E0">
      <w:pPr>
        <w:spacing w:line="360" w:lineRule="auto"/>
        <w:jc w:val="center"/>
        <w:rPr>
          <w:i/>
        </w:rPr>
      </w:pPr>
      <w:r w:rsidRPr="00DF2897">
        <w:rPr>
          <w:i/>
        </w:rPr>
        <w:t>Hình 5.1 : Đường cong lãi suất</w:t>
      </w:r>
    </w:p>
    <w:p w:rsidR="002B30E0" w:rsidRPr="00DF2897" w:rsidRDefault="002B30E0" w:rsidP="002B30E0">
      <w:pPr>
        <w:spacing w:line="360" w:lineRule="auto"/>
        <w:jc w:val="both"/>
      </w:pPr>
      <w:r w:rsidRPr="00DF2897">
        <w:rPr>
          <w:u w:val="single"/>
        </w:rPr>
        <w:t>Trong đó :</w:t>
      </w:r>
      <w:r w:rsidRPr="00DF2897">
        <w:t xml:space="preserve"> -    Rated Zero-Coupon Bond : Trái phiếu không trả lãi định kỳ được xếp hạng</w:t>
      </w:r>
    </w:p>
    <w:p w:rsidR="002B30E0" w:rsidRPr="00DF2897" w:rsidRDefault="002B30E0" w:rsidP="002B30E0">
      <w:pPr>
        <w:pStyle w:val="ListParagraph"/>
        <w:numPr>
          <w:ilvl w:val="0"/>
          <w:numId w:val="1"/>
        </w:numPr>
        <w:spacing w:line="360" w:lineRule="auto"/>
        <w:jc w:val="both"/>
        <w:rPr>
          <w:rFonts w:ascii="Times New Roman" w:hAnsi="Times New Roman"/>
          <w:sz w:val="26"/>
          <w:szCs w:val="26"/>
        </w:rPr>
      </w:pPr>
      <w:r w:rsidRPr="00DF2897">
        <w:rPr>
          <w:rFonts w:ascii="Times New Roman" w:hAnsi="Times New Roman"/>
          <w:sz w:val="26"/>
          <w:szCs w:val="26"/>
        </w:rPr>
        <w:t>Zero – Coupon Treasury Bond : Trái phiếu kho bạc không trả lãi định kỳ</w:t>
      </w:r>
    </w:p>
    <w:p w:rsidR="002B30E0" w:rsidRPr="00DF2897" w:rsidRDefault="002B30E0" w:rsidP="002B30E0">
      <w:pPr>
        <w:pStyle w:val="ListParagraph"/>
        <w:numPr>
          <w:ilvl w:val="0"/>
          <w:numId w:val="1"/>
        </w:numPr>
        <w:spacing w:line="360" w:lineRule="auto"/>
        <w:jc w:val="both"/>
        <w:rPr>
          <w:rFonts w:ascii="Times New Roman" w:hAnsi="Times New Roman"/>
          <w:sz w:val="26"/>
          <w:szCs w:val="26"/>
        </w:rPr>
      </w:pPr>
      <w:r w:rsidRPr="00DF2897">
        <w:rPr>
          <w:rFonts w:ascii="Times New Roman" w:hAnsi="Times New Roman"/>
          <w:sz w:val="26"/>
          <w:szCs w:val="26"/>
        </w:rPr>
        <w:t>Time to Maturity : Kỳ hạn</w:t>
      </w:r>
    </w:p>
    <w:p w:rsidR="002B30E0" w:rsidRPr="00DF2897" w:rsidRDefault="002B30E0" w:rsidP="002B30E0">
      <w:pPr>
        <w:pStyle w:val="ListParagraph"/>
        <w:numPr>
          <w:ilvl w:val="0"/>
          <w:numId w:val="1"/>
        </w:numPr>
        <w:spacing w:line="360" w:lineRule="auto"/>
        <w:jc w:val="both"/>
        <w:rPr>
          <w:rFonts w:ascii="Times New Roman" w:hAnsi="Times New Roman"/>
          <w:sz w:val="26"/>
          <w:szCs w:val="26"/>
        </w:rPr>
      </w:pPr>
      <w:r w:rsidRPr="00DF2897">
        <w:rPr>
          <w:rFonts w:ascii="Times New Roman" w:hAnsi="Times New Roman"/>
          <w:sz w:val="26"/>
          <w:szCs w:val="26"/>
        </w:rPr>
        <w:t>Spot Yield to Maturity : Lãi suất giao ngay khi đáo hạn</w:t>
      </w:r>
    </w:p>
    <w:p w:rsidR="002B30E0" w:rsidRPr="00DF2897" w:rsidRDefault="002B30E0" w:rsidP="002B30E0">
      <w:pPr>
        <w:spacing w:line="360" w:lineRule="auto"/>
        <w:ind w:firstLine="720"/>
        <w:jc w:val="both"/>
      </w:pPr>
      <w:r w:rsidRPr="00DF2897">
        <w:t xml:space="preserve">Xem xét hai điểm khác nhau trên đường cong lãi suất của trái phiếu được xếp hạng B thể hiện trong hình 5.1, chúng ta hãy xem xét chênh lệch tín dụng </w:t>
      </w:r>
      <w:r w:rsidRPr="00DF2897">
        <w:lastRenderedPageBreak/>
        <w:t xml:space="preserve">được bao gồm trong trái phiếu doanh nghiệp hạng B không trả lãi định kỳ kỳ hạn 2 năm, cho thấy kiếm được lãi suất tới đáo hạn là 16%/năm. Để phân chia tỷ lệ này thành các bộ phận, đầu tiên chúng ta phải tính lãi suất 1 năm tiếp theo, đó là lãi suất trên trái phiếu doanh nghiệp hạng B không trả lãi định kỳ kỳ hạn một năm nhận được sau 1 năm kể từ bây giờ, ký hiệu là </w:t>
      </w:r>
      <w:r w:rsidRPr="00DF2897">
        <w:rPr>
          <w:vertAlign w:val="subscript"/>
        </w:rPr>
        <w:t>1</w:t>
      </w:r>
      <w:r w:rsidRPr="00DF2897">
        <w:t>y</w:t>
      </w:r>
      <w:r w:rsidRPr="00DF2897">
        <w:rPr>
          <w:vertAlign w:val="subscript"/>
        </w:rPr>
        <w:t>1</w:t>
      </w:r>
      <w:r w:rsidRPr="00DF2897">
        <w:t xml:space="preserve">. Giả sử nhà đầu tư kỳ vọng nắm giữ trái phiếu, chúng ta có thể tính lãi suất trái phiếu công ty năm tiếp theo như sau : </w:t>
      </w:r>
    </w:p>
    <w:p w:rsidR="002B30E0" w:rsidRPr="00ED1865" w:rsidRDefault="002B30E0" w:rsidP="002B30E0">
      <w:pPr>
        <w:spacing w:line="360" w:lineRule="auto"/>
        <w:jc w:val="center"/>
        <w:rPr>
          <w:lang w:val="fr-FR"/>
        </w:rPr>
      </w:pPr>
      <w:r w:rsidRPr="00ED1865">
        <w:rPr>
          <w:lang w:val="fr-FR"/>
        </w:rPr>
        <w:t>(1+</w:t>
      </w:r>
      <w:r w:rsidRPr="00ED1865">
        <w:rPr>
          <w:lang w:val="fr-FR"/>
        </w:rPr>
        <w:softHyphen/>
      </w:r>
      <w:r w:rsidRPr="00ED1865">
        <w:rPr>
          <w:vertAlign w:val="subscript"/>
          <w:lang w:val="fr-FR"/>
        </w:rPr>
        <w:t>0</w:t>
      </w:r>
      <w:r w:rsidRPr="00ED1865">
        <w:rPr>
          <w:lang w:val="fr-FR"/>
        </w:rPr>
        <w:t>y</w:t>
      </w:r>
      <w:r w:rsidRPr="00ED1865">
        <w:rPr>
          <w:vertAlign w:val="subscript"/>
          <w:lang w:val="fr-FR"/>
        </w:rPr>
        <w:t>2</w:t>
      </w:r>
      <w:r w:rsidRPr="00ED1865">
        <w:rPr>
          <w:lang w:val="fr-FR"/>
        </w:rPr>
        <w:t>)</w:t>
      </w:r>
      <w:r w:rsidRPr="00ED1865">
        <w:rPr>
          <w:vertAlign w:val="superscript"/>
          <w:lang w:val="fr-FR"/>
        </w:rPr>
        <w:t>2</w:t>
      </w:r>
      <w:r w:rsidRPr="00ED1865">
        <w:rPr>
          <w:lang w:val="fr-FR"/>
        </w:rPr>
        <w:t xml:space="preserve"> = (1+</w:t>
      </w:r>
      <w:r w:rsidRPr="00ED1865">
        <w:rPr>
          <w:vertAlign w:val="subscript"/>
          <w:lang w:val="fr-FR"/>
        </w:rPr>
        <w:t>0</w:t>
      </w:r>
      <w:r w:rsidRPr="00ED1865">
        <w:rPr>
          <w:lang w:val="fr-FR"/>
        </w:rPr>
        <w:t>y</w:t>
      </w:r>
      <w:r w:rsidRPr="00ED1865">
        <w:rPr>
          <w:vertAlign w:val="subscript"/>
          <w:lang w:val="fr-FR"/>
        </w:rPr>
        <w:t>1</w:t>
      </w:r>
      <w:r w:rsidRPr="00ED1865">
        <w:rPr>
          <w:lang w:val="fr-FR"/>
        </w:rPr>
        <w:t>)(1+</w:t>
      </w:r>
      <w:r w:rsidRPr="00ED1865">
        <w:rPr>
          <w:vertAlign w:val="subscript"/>
          <w:lang w:val="fr-FR"/>
        </w:rPr>
        <w:t>1</w:t>
      </w:r>
      <w:r w:rsidRPr="00ED1865">
        <w:rPr>
          <w:lang w:val="fr-FR"/>
        </w:rPr>
        <w:t>y</w:t>
      </w:r>
      <w:r w:rsidRPr="00ED1865">
        <w:rPr>
          <w:vertAlign w:val="subscript"/>
          <w:lang w:val="fr-FR"/>
        </w:rPr>
        <w:t>1</w:t>
      </w:r>
      <w:r w:rsidRPr="00ED1865">
        <w:rPr>
          <w:lang w:val="fr-FR"/>
        </w:rPr>
        <w:t>)</w:t>
      </w:r>
    </w:p>
    <w:p w:rsidR="002B30E0" w:rsidRPr="00ED1865" w:rsidRDefault="002B30E0" w:rsidP="002B30E0">
      <w:pPr>
        <w:spacing w:line="360" w:lineRule="auto"/>
        <w:jc w:val="both"/>
        <w:rPr>
          <w:lang w:val="fr-FR"/>
        </w:rPr>
      </w:pPr>
      <w:r w:rsidRPr="00ED1865">
        <w:rPr>
          <w:lang w:val="fr-FR"/>
        </w:rPr>
        <w:t xml:space="preserve">Thay vào các giá trị ở hình 5.1 : </w:t>
      </w:r>
    </w:p>
    <w:p w:rsidR="002B30E0" w:rsidRPr="00ED1865" w:rsidRDefault="002B30E0" w:rsidP="002B30E0">
      <w:pPr>
        <w:spacing w:line="360" w:lineRule="auto"/>
        <w:jc w:val="center"/>
        <w:rPr>
          <w:noProof/>
          <w:lang w:val="fr-FR"/>
        </w:rPr>
      </w:pPr>
      <w:r w:rsidRPr="00ED1865">
        <w:rPr>
          <w:noProof/>
          <w:lang w:val="fr-FR"/>
        </w:rPr>
        <w:t>(1 </w:t>
      </w:r>
      <w:r w:rsidRPr="00ED1865">
        <w:rPr>
          <w:noProof/>
          <w:position w:val="1"/>
          <w:lang w:val="fr-FR"/>
        </w:rPr>
        <w:t>+</w:t>
      </w:r>
      <w:r w:rsidRPr="00ED1865">
        <w:rPr>
          <w:noProof/>
          <w:lang w:val="fr-FR"/>
        </w:rPr>
        <w:t> 0.16)</w:t>
      </w:r>
      <w:r w:rsidRPr="00ED1865">
        <w:rPr>
          <w:noProof/>
          <w:spacing w:val="-2"/>
          <w:position w:val="7"/>
          <w:lang w:val="fr-FR"/>
        </w:rPr>
        <w:t>2</w:t>
      </w:r>
      <w:r w:rsidRPr="00ED1865">
        <w:rPr>
          <w:noProof/>
          <w:lang w:val="fr-FR"/>
        </w:rPr>
        <w:t> </w:t>
      </w:r>
      <w:r w:rsidRPr="00ED1865">
        <w:rPr>
          <w:noProof/>
          <w:position w:val="1"/>
          <w:lang w:val="fr-FR"/>
        </w:rPr>
        <w:t>=</w:t>
      </w:r>
      <w:r w:rsidRPr="00ED1865">
        <w:rPr>
          <w:noProof/>
          <w:lang w:val="fr-FR"/>
        </w:rPr>
        <w:t> (1 </w:t>
      </w:r>
      <w:r w:rsidRPr="00ED1865">
        <w:rPr>
          <w:noProof/>
          <w:position w:val="1"/>
          <w:lang w:val="fr-FR"/>
        </w:rPr>
        <w:t>+</w:t>
      </w:r>
      <w:r w:rsidRPr="00ED1865">
        <w:rPr>
          <w:noProof/>
          <w:lang w:val="fr-FR"/>
        </w:rPr>
        <w:t> 0.1369)(1 </w:t>
      </w:r>
      <w:r w:rsidRPr="00ED1865">
        <w:rPr>
          <w:noProof/>
          <w:position w:val="1"/>
          <w:lang w:val="fr-FR"/>
        </w:rPr>
        <w:t>+</w:t>
      </w:r>
      <w:r w:rsidRPr="00ED1865">
        <w:rPr>
          <w:noProof/>
          <w:lang w:val="fr-FR"/>
        </w:rPr>
        <w:t> </w:t>
      </w:r>
      <w:r w:rsidRPr="00ED1865">
        <w:rPr>
          <w:noProof/>
          <w:vertAlign w:val="subscript"/>
          <w:lang w:val="fr-FR"/>
        </w:rPr>
        <w:t>1</w:t>
      </w:r>
      <w:r w:rsidRPr="00ED1865">
        <w:rPr>
          <w:noProof/>
          <w:lang w:val="fr-FR"/>
        </w:rPr>
        <w:t>y</w:t>
      </w:r>
      <w:r w:rsidRPr="00ED1865">
        <w:rPr>
          <w:noProof/>
          <w:vertAlign w:val="subscript"/>
          <w:lang w:val="fr-FR"/>
        </w:rPr>
        <w:t>1</w:t>
      </w:r>
      <w:r w:rsidRPr="00ED1865">
        <w:rPr>
          <w:noProof/>
          <w:lang w:val="fr-FR"/>
        </w:rPr>
        <w:t>)</w:t>
      </w:r>
    </w:p>
    <w:p w:rsidR="002B30E0" w:rsidRPr="00ED1865" w:rsidRDefault="002B30E0" w:rsidP="002B30E0">
      <w:pPr>
        <w:spacing w:line="360" w:lineRule="auto"/>
        <w:jc w:val="both"/>
        <w:rPr>
          <w:noProof/>
          <w:lang w:val="fr-FR"/>
        </w:rPr>
      </w:pPr>
      <w:r w:rsidRPr="00ED1865">
        <w:rPr>
          <w:noProof/>
          <w:lang w:val="fr-FR"/>
        </w:rPr>
        <w:t xml:space="preserve">Tính được </w:t>
      </w:r>
      <w:r w:rsidRPr="00ED1865">
        <w:rPr>
          <w:noProof/>
          <w:vertAlign w:val="subscript"/>
          <w:lang w:val="fr-FR"/>
        </w:rPr>
        <w:t>1</w:t>
      </w:r>
      <w:r w:rsidRPr="00ED1865">
        <w:rPr>
          <w:noProof/>
          <w:lang w:val="fr-FR"/>
        </w:rPr>
        <w:t>y</w:t>
      </w:r>
      <w:r w:rsidRPr="00ED1865">
        <w:rPr>
          <w:noProof/>
          <w:vertAlign w:val="subscript"/>
          <w:lang w:val="fr-FR"/>
        </w:rPr>
        <w:t>1</w:t>
      </w:r>
      <w:r w:rsidRPr="00ED1865">
        <w:rPr>
          <w:noProof/>
          <w:lang w:val="fr-FR"/>
        </w:rPr>
        <w:t xml:space="preserve"> suy ra lãi suất năm tiếp theo của trái phiếu doanh nghiệp hạng B kỳ hạn 1 năm là 18,36%. Một bài tập tương tự có thể được dùng để xác định lãi suất năm tiếp theo của trái phiếu kho bạc (phi rủi ro) kỳ hạn một năm như sau : </w:t>
      </w:r>
    </w:p>
    <w:p w:rsidR="002B30E0" w:rsidRPr="00ED1865" w:rsidRDefault="002B30E0" w:rsidP="002B30E0">
      <w:pPr>
        <w:spacing w:line="360" w:lineRule="auto"/>
        <w:jc w:val="center"/>
        <w:rPr>
          <w:lang w:val="fr-FR"/>
        </w:rPr>
      </w:pPr>
      <w:r w:rsidRPr="00ED1865">
        <w:rPr>
          <w:lang w:val="fr-FR"/>
        </w:rPr>
        <w:t>(1+</w:t>
      </w:r>
      <w:r w:rsidRPr="00ED1865">
        <w:rPr>
          <w:lang w:val="fr-FR"/>
        </w:rPr>
        <w:softHyphen/>
      </w:r>
      <w:r w:rsidRPr="00ED1865">
        <w:rPr>
          <w:vertAlign w:val="subscript"/>
          <w:lang w:val="fr-FR"/>
        </w:rPr>
        <w:t>0</w:t>
      </w:r>
      <w:r w:rsidRPr="00ED1865">
        <w:rPr>
          <w:lang w:val="fr-FR"/>
        </w:rPr>
        <w:t>r</w:t>
      </w:r>
      <w:r w:rsidRPr="00ED1865">
        <w:rPr>
          <w:vertAlign w:val="subscript"/>
          <w:lang w:val="fr-FR"/>
        </w:rPr>
        <w:t>2</w:t>
      </w:r>
      <w:r w:rsidRPr="00ED1865">
        <w:rPr>
          <w:lang w:val="fr-FR"/>
        </w:rPr>
        <w:t>)</w:t>
      </w:r>
      <w:r w:rsidRPr="00ED1865">
        <w:rPr>
          <w:vertAlign w:val="superscript"/>
          <w:lang w:val="fr-FR"/>
        </w:rPr>
        <w:t>2</w:t>
      </w:r>
      <w:r w:rsidRPr="00ED1865">
        <w:rPr>
          <w:lang w:val="fr-FR"/>
        </w:rPr>
        <w:t xml:space="preserve"> = (1+</w:t>
      </w:r>
      <w:r w:rsidRPr="00ED1865">
        <w:rPr>
          <w:vertAlign w:val="subscript"/>
          <w:lang w:val="fr-FR"/>
        </w:rPr>
        <w:t>0</w:t>
      </w:r>
      <w:r w:rsidRPr="00ED1865">
        <w:rPr>
          <w:lang w:val="fr-FR"/>
        </w:rPr>
        <w:t>r</w:t>
      </w:r>
      <w:r w:rsidRPr="00ED1865">
        <w:rPr>
          <w:vertAlign w:val="subscript"/>
          <w:lang w:val="fr-FR"/>
        </w:rPr>
        <w:t>1</w:t>
      </w:r>
      <w:r w:rsidRPr="00ED1865">
        <w:rPr>
          <w:lang w:val="fr-FR"/>
        </w:rPr>
        <w:t>)(1+</w:t>
      </w:r>
      <w:r w:rsidRPr="00ED1865">
        <w:rPr>
          <w:vertAlign w:val="subscript"/>
          <w:lang w:val="fr-FR"/>
        </w:rPr>
        <w:t>1</w:t>
      </w:r>
      <w:r w:rsidRPr="00ED1865">
        <w:rPr>
          <w:lang w:val="fr-FR"/>
        </w:rPr>
        <w:t>r</w:t>
      </w:r>
      <w:r w:rsidRPr="00ED1865">
        <w:rPr>
          <w:vertAlign w:val="subscript"/>
          <w:lang w:val="fr-FR"/>
        </w:rPr>
        <w:t>1</w:t>
      </w:r>
      <w:r w:rsidRPr="00ED1865">
        <w:rPr>
          <w:lang w:val="fr-FR"/>
        </w:rPr>
        <w:t>)  (5.5)</w:t>
      </w:r>
    </w:p>
    <w:p w:rsidR="002B30E0" w:rsidRPr="00ED1865" w:rsidRDefault="002B30E0" w:rsidP="002B30E0">
      <w:pPr>
        <w:spacing w:line="360" w:lineRule="auto"/>
        <w:jc w:val="both"/>
        <w:rPr>
          <w:lang w:val="fr-FR"/>
        </w:rPr>
      </w:pPr>
      <w:r w:rsidRPr="00ED1865">
        <w:rPr>
          <w:lang w:val="fr-FR"/>
        </w:rPr>
        <w:t xml:space="preserve">Thay vào các giá trị ở hình 5.1 : </w:t>
      </w:r>
    </w:p>
    <w:p w:rsidR="002B30E0" w:rsidRPr="00ED1865" w:rsidRDefault="002B30E0" w:rsidP="002B30E0">
      <w:pPr>
        <w:spacing w:line="360" w:lineRule="auto"/>
        <w:jc w:val="center"/>
        <w:rPr>
          <w:lang w:val="fr-FR"/>
        </w:rPr>
      </w:pPr>
      <w:r w:rsidRPr="00ED1865">
        <w:rPr>
          <w:lang w:val="fr-FR"/>
        </w:rPr>
        <w:t>(1+0,1)</w:t>
      </w:r>
      <w:r w:rsidRPr="00ED1865">
        <w:rPr>
          <w:vertAlign w:val="superscript"/>
          <w:lang w:val="fr-FR"/>
        </w:rPr>
        <w:t>2</w:t>
      </w:r>
      <w:r w:rsidRPr="00ED1865">
        <w:rPr>
          <w:lang w:val="fr-FR"/>
        </w:rPr>
        <w:t xml:space="preserve"> = (1+0,08)(1+</w:t>
      </w:r>
      <w:r w:rsidRPr="00ED1865">
        <w:rPr>
          <w:vertAlign w:val="subscript"/>
          <w:lang w:val="fr-FR"/>
        </w:rPr>
        <w:t>1</w:t>
      </w:r>
      <w:r w:rsidRPr="00ED1865">
        <w:rPr>
          <w:lang w:val="fr-FR"/>
        </w:rPr>
        <w:t>r</w:t>
      </w:r>
      <w:r w:rsidRPr="00ED1865">
        <w:rPr>
          <w:vertAlign w:val="subscript"/>
          <w:lang w:val="fr-FR"/>
        </w:rPr>
        <w:t>1</w:t>
      </w:r>
      <w:r w:rsidRPr="00ED1865">
        <w:rPr>
          <w:lang w:val="fr-FR"/>
        </w:rPr>
        <w:t>)</w:t>
      </w:r>
    </w:p>
    <w:p w:rsidR="002B30E0" w:rsidRPr="00ED1865" w:rsidRDefault="002B30E0" w:rsidP="002B30E0">
      <w:pPr>
        <w:spacing w:line="360" w:lineRule="auto"/>
        <w:jc w:val="both"/>
        <w:rPr>
          <w:noProof/>
          <w:lang w:val="fr-FR"/>
        </w:rPr>
      </w:pPr>
      <w:r w:rsidRPr="00ED1865">
        <w:rPr>
          <w:noProof/>
          <w:lang w:val="fr-FR"/>
        </w:rPr>
        <w:t xml:space="preserve">Tính được </w:t>
      </w:r>
      <w:r w:rsidRPr="00ED1865">
        <w:rPr>
          <w:noProof/>
          <w:vertAlign w:val="subscript"/>
          <w:lang w:val="fr-FR"/>
        </w:rPr>
        <w:t>1</w:t>
      </w:r>
      <w:r w:rsidRPr="00ED1865">
        <w:rPr>
          <w:noProof/>
          <w:lang w:val="fr-FR"/>
        </w:rPr>
        <w:t>r</w:t>
      </w:r>
      <w:r w:rsidRPr="00ED1865">
        <w:rPr>
          <w:noProof/>
          <w:vertAlign w:val="subscript"/>
          <w:lang w:val="fr-FR"/>
        </w:rPr>
        <w:t>1</w:t>
      </w:r>
      <w:r w:rsidRPr="00ED1865">
        <w:rPr>
          <w:noProof/>
          <w:lang w:val="fr-FR"/>
        </w:rPr>
        <w:t xml:space="preserve"> suy ra lãi suất trái phiếu kho bạc năm tiếp theo là 12,04%. Bây giờ chúng ta có thể sử dụng giá trị lãi suất của năm tới này để phân tích lãi suất rủi ro thành các thành phần phi rủi ro và chênh lệch rủi ro tín dụng. Từ phương trình 5.3 với kỳ hạn một năm, nhưng sử dụng lãi suất năm tiếp theo, ta có : </w:t>
      </w:r>
    </w:p>
    <w:p w:rsidR="002B30E0" w:rsidRPr="007922F9" w:rsidRDefault="002B30E0" w:rsidP="002B30E0">
      <w:pPr>
        <w:spacing w:line="360" w:lineRule="auto"/>
        <w:jc w:val="center"/>
        <w:rPr>
          <w:noProof/>
          <w:lang w:val="en-US"/>
        </w:rPr>
      </w:pPr>
      <w:r w:rsidRPr="007922F9">
        <w:rPr>
          <w:lang w:val="en-US"/>
        </w:rPr>
        <w:t>(1+</w:t>
      </w:r>
      <w:r w:rsidRPr="007922F9">
        <w:rPr>
          <w:vertAlign w:val="subscript"/>
          <w:lang w:val="en-US"/>
        </w:rPr>
        <w:t>1</w:t>
      </w:r>
      <w:r w:rsidRPr="007922F9">
        <w:rPr>
          <w:lang w:val="en-US"/>
        </w:rPr>
        <w:t>r</w:t>
      </w:r>
      <w:r w:rsidRPr="007922F9">
        <w:rPr>
          <w:vertAlign w:val="subscript"/>
          <w:lang w:val="en-US"/>
        </w:rPr>
        <w:t>1</w:t>
      </w:r>
      <w:r w:rsidRPr="007922F9">
        <w:rPr>
          <w:lang w:val="en-US"/>
        </w:rPr>
        <w:t>) = (1-PD).(1+</w:t>
      </w:r>
      <w:r w:rsidRPr="007922F9">
        <w:rPr>
          <w:vertAlign w:val="subscript"/>
          <w:lang w:val="en-US"/>
        </w:rPr>
        <w:t>1</w:t>
      </w:r>
      <w:r w:rsidRPr="007922F9">
        <w:rPr>
          <w:lang w:val="en-US"/>
        </w:rPr>
        <w:t>y</w:t>
      </w:r>
      <w:r w:rsidRPr="007922F9">
        <w:rPr>
          <w:vertAlign w:val="subscript"/>
          <w:lang w:val="en-US"/>
        </w:rPr>
        <w:t>1</w:t>
      </w:r>
      <w:r w:rsidRPr="007922F9">
        <w:rPr>
          <w:lang w:val="en-US"/>
        </w:rPr>
        <w:t>) (5.6)</w:t>
      </w:r>
    </w:p>
    <w:p w:rsidR="002B30E0" w:rsidRPr="007922F9" w:rsidRDefault="002B30E0" w:rsidP="002B30E0">
      <w:pPr>
        <w:spacing w:line="360" w:lineRule="auto"/>
        <w:jc w:val="center"/>
        <w:rPr>
          <w:lang w:val="en-US"/>
        </w:rPr>
      </w:pPr>
      <w:r w:rsidRPr="007922F9">
        <w:rPr>
          <w:lang w:val="en-US"/>
        </w:rPr>
        <w:t>(1+0,1204) = (1-PD).(1+0,1836)</w:t>
      </w:r>
    </w:p>
    <w:p w:rsidR="007922F9" w:rsidRPr="009A050D" w:rsidRDefault="007922F9" w:rsidP="007922F9">
      <w:pPr>
        <w:rPr>
          <w:i/>
          <w:lang w:val="en-US"/>
        </w:rPr>
      </w:pPr>
      <w:r w:rsidRPr="009A050D">
        <w:rPr>
          <w:lang w:val="en-US"/>
        </w:rPr>
        <w:t xml:space="preserve">Dịch từ </w:t>
      </w:r>
      <w:r w:rsidRPr="009A050D">
        <w:rPr>
          <w:i/>
          <w:lang w:val="en-US"/>
        </w:rPr>
        <w:t>Credit Risk Measurement - New Approaches to Value at Risk and Other Paradigms - ANTHONY SAUNDERS, LINDA ALLEN</w:t>
      </w:r>
    </w:p>
    <w:p w:rsidR="007922F9" w:rsidRPr="009A050D" w:rsidRDefault="007922F9" w:rsidP="007922F9">
      <w:pPr>
        <w:rPr>
          <w:b/>
          <w:i/>
          <w:sz w:val="26"/>
          <w:szCs w:val="26"/>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9A050D">
        <w:rPr>
          <w:b/>
          <w:i/>
          <w:sz w:val="26"/>
          <w:szCs w:val="26"/>
          <w:lang w:val="en-US"/>
        </w:rPr>
        <w:t>Mai Xuân Bình – Khoa QTKD</w:t>
      </w:r>
    </w:p>
    <w:p w:rsidR="00BC4BF0" w:rsidRDefault="00BC4BF0">
      <w:bookmarkStart w:id="0" w:name="_GoBack"/>
      <w:bookmarkEnd w:id="0"/>
    </w:p>
    <w:sectPr w:rsidR="00BC4BF0"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D574F"/>
    <w:multiLevelType w:val="hybridMultilevel"/>
    <w:tmpl w:val="7D9C2F78"/>
    <w:lvl w:ilvl="0" w:tplc="53B00412">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E0"/>
    <w:rsid w:val="002B30E0"/>
    <w:rsid w:val="007922F9"/>
    <w:rsid w:val="00B17418"/>
    <w:rsid w:val="00BC4B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8E769-2F95-4C24-BA61-843745C3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0E0"/>
    <w:pPr>
      <w:spacing w:after="200" w:line="276" w:lineRule="auto"/>
      <w:ind w:left="720"/>
      <w:contextualSpacing/>
    </w:pPr>
    <w:rPr>
      <w:rFonts w:ascii="Calibri" w:eastAsia="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2015-01-14T01:32:00Z</dcterms:created>
  <dcterms:modified xsi:type="dcterms:W3CDTF">2015-01-14T01:47:00Z</dcterms:modified>
</cp:coreProperties>
</file>