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5DF62" w14:textId="77777777" w:rsidR="004D213E" w:rsidRPr="004D213E" w:rsidRDefault="004D213E" w:rsidP="004D213E">
      <w:pPr>
        <w:pStyle w:val="NormalJustified"/>
        <w:numPr>
          <w:ilvl w:val="0"/>
          <w:numId w:val="0"/>
        </w:numPr>
        <w:spacing w:before="120" w:line="360" w:lineRule="auto"/>
        <w:ind w:left="720" w:hanging="720"/>
        <w:jc w:val="center"/>
        <w:rPr>
          <w:b/>
          <w:sz w:val="32"/>
        </w:rPr>
      </w:pPr>
      <w:r w:rsidRPr="004D213E">
        <w:rPr>
          <w:b/>
          <w:sz w:val="32"/>
        </w:rPr>
        <w:t xml:space="preserve">MỘT SỐ VẤN ĐỀ VỀ </w:t>
      </w:r>
      <w:r w:rsidRPr="004D213E">
        <w:rPr>
          <w:b/>
          <w:sz w:val="32"/>
        </w:rPr>
        <w:t>NIÊM YẾT CHỨNG KHOÁN</w:t>
      </w:r>
    </w:p>
    <w:p w14:paraId="0A678B78" w14:textId="77777777" w:rsidR="004D213E" w:rsidRPr="00D01606" w:rsidRDefault="004D213E" w:rsidP="004D213E">
      <w:pPr>
        <w:spacing w:before="120" w:line="264" w:lineRule="auto"/>
        <w:jc w:val="both"/>
        <w:rPr>
          <w:rFonts w:cs="Times New Roman"/>
          <w:b/>
        </w:rPr>
      </w:pPr>
      <w:proofErr w:type="spellStart"/>
      <w:r w:rsidRPr="00D01606">
        <w:rPr>
          <w:rFonts w:cs="Times New Roman"/>
          <w:b/>
        </w:rPr>
        <w:t>Khái</w:t>
      </w:r>
      <w:proofErr w:type="spellEnd"/>
      <w:r w:rsidRPr="00D01606">
        <w:rPr>
          <w:rFonts w:cs="Times New Roman"/>
          <w:b/>
        </w:rPr>
        <w:t xml:space="preserve"> </w:t>
      </w:r>
      <w:proofErr w:type="spellStart"/>
      <w:r w:rsidRPr="00D01606">
        <w:rPr>
          <w:rFonts w:cs="Times New Roman"/>
          <w:b/>
        </w:rPr>
        <w:t>niệm</w:t>
      </w:r>
      <w:proofErr w:type="spellEnd"/>
    </w:p>
    <w:p w14:paraId="415E3E67" w14:textId="77777777" w:rsidR="004D213E" w:rsidRPr="00D01606" w:rsidRDefault="004D213E" w:rsidP="004D213E">
      <w:pPr>
        <w:pStyle w:val="pbody1"/>
        <w:spacing w:before="120" w:after="0" w:line="264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chứng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khoán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là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việc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đưa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chứng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khoán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có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đủ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tiêu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chuẩn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vào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đăng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ký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giao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dịch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tại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thị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trường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giao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dịch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tập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trung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(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Sở</w:t>
      </w:r>
      <w:proofErr w:type="spellEnd"/>
      <w:proofErr w:type="gram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Giao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dịch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Chứng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khoán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Trung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tâm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Giao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dịch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Chứng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khoán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>).</w:t>
      </w:r>
    </w:p>
    <w:p w14:paraId="578CDE04" w14:textId="77777777" w:rsidR="004D213E" w:rsidRPr="00D01606" w:rsidRDefault="004D213E" w:rsidP="004D213E">
      <w:pPr>
        <w:pStyle w:val="pbody1"/>
        <w:spacing w:before="120" w:after="0" w:line="264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proofErr w:type="spellStart"/>
      <w:r w:rsidRPr="00D01606">
        <w:rPr>
          <w:rFonts w:ascii="Times New Roman" w:hAnsi="Times New Roman" w:cs="Times New Roman"/>
          <w:b/>
          <w:color w:val="auto"/>
          <w:sz w:val="26"/>
          <w:szCs w:val="26"/>
        </w:rPr>
        <w:t>Các</w:t>
      </w:r>
      <w:proofErr w:type="spellEnd"/>
      <w:r w:rsidRPr="00D0160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b/>
          <w:color w:val="auto"/>
          <w:sz w:val="26"/>
          <w:szCs w:val="26"/>
        </w:rPr>
        <w:t>hình</w:t>
      </w:r>
      <w:proofErr w:type="spellEnd"/>
      <w:r w:rsidRPr="00D0160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b/>
          <w:color w:val="auto"/>
          <w:sz w:val="26"/>
          <w:szCs w:val="26"/>
        </w:rPr>
        <w:t>thức</w:t>
      </w:r>
      <w:proofErr w:type="spellEnd"/>
      <w:r w:rsidRPr="00D0160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b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b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b/>
          <w:color w:val="auto"/>
          <w:sz w:val="26"/>
          <w:szCs w:val="26"/>
        </w:rPr>
        <w:t>:</w:t>
      </w:r>
    </w:p>
    <w:p w14:paraId="522E2F2C" w14:textId="77777777" w:rsidR="004D213E" w:rsidRPr="00D01606" w:rsidRDefault="004D213E" w:rsidP="004D213E">
      <w:pPr>
        <w:pStyle w:val="pbody1"/>
        <w:spacing w:before="120" w:after="0" w:line="264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Niêm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yết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lần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đầu</w:t>
      </w:r>
      <w:proofErr w:type="spellEnd"/>
      <w:r w:rsidRPr="00D01606">
        <w:rPr>
          <w:rFonts w:ascii="Times New Roman" w:hAnsi="Times New Roman" w:cs="Times New Roman"/>
          <w:b/>
          <w:color w:val="auto"/>
          <w:sz w:val="26"/>
          <w:szCs w:val="26"/>
        </w:rPr>
        <w:t>:</w:t>
      </w:r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50D47E27" w14:textId="77777777" w:rsidR="004D213E" w:rsidRPr="00D01606" w:rsidRDefault="004D213E" w:rsidP="004D213E">
      <w:pPr>
        <w:pStyle w:val="pbody1"/>
        <w:spacing w:before="120" w:after="0" w:line="264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01606">
        <w:rPr>
          <w:rFonts w:ascii="Times New Roman" w:hAnsi="Times New Roman" w:cs="Times New Roman"/>
          <w:color w:val="auto"/>
          <w:sz w:val="26"/>
          <w:szCs w:val="26"/>
        </w:rPr>
        <w:tab/>
      </w:r>
      <w:proofErr w:type="spellStart"/>
      <w:proofErr w:type="gram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lần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đầu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là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việc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cho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phép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cổ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phiếu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của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một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được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giao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dịch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lần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đầu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tiên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trên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SGDCK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đó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áp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dụng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yêu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cầu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về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lần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đầu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gramEnd"/>
    </w:p>
    <w:p w14:paraId="02F88FD7" w14:textId="77777777" w:rsidR="004D213E" w:rsidRPr="004D213E" w:rsidRDefault="004D213E" w:rsidP="004D213E">
      <w:pPr>
        <w:pStyle w:val="pbody1"/>
        <w:spacing w:before="120" w:after="0" w:line="264" w:lineRule="auto"/>
        <w:jc w:val="both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Đăng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ký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niêm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yết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bổ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sung</w:t>
      </w:r>
    </w:p>
    <w:p w14:paraId="14B2CD47" w14:textId="77777777" w:rsidR="004D213E" w:rsidRPr="00D01606" w:rsidRDefault="004D213E" w:rsidP="004D213E">
      <w:pPr>
        <w:pStyle w:val="pbody1"/>
        <w:spacing w:before="120" w:after="0" w:line="264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Một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nếu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được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UBCKNN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chấp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nhận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sẽ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được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cổ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phiếu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mới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phát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hành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(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sau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lần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đầu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tiên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với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mục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đích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tang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vốn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hay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vì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mục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đích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như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sáp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nhập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trả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cổ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tức</w:t>
      </w:r>
      <w:proofErr w:type="gramStart"/>
      <w:r w:rsidRPr="00D01606">
        <w:rPr>
          <w:rFonts w:ascii="Times New Roman" w:hAnsi="Times New Roman" w:cs="Times New Roman"/>
          <w:color w:val="auto"/>
          <w:sz w:val="26"/>
          <w:szCs w:val="26"/>
        </w:rPr>
        <w:t>,thực</w:t>
      </w:r>
      <w:proofErr w:type="spellEnd"/>
      <w:proofErr w:type="gram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hiện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trái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quyền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thực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hiện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việc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chuyển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đổi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trái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phiếu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có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khả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năng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chuyên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đổi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sang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cổ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phiếu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2A79C9AE" w14:textId="77777777" w:rsidR="004D213E" w:rsidRPr="004D213E" w:rsidRDefault="004D213E" w:rsidP="004D213E">
      <w:pPr>
        <w:pStyle w:val="pbody1"/>
        <w:spacing w:before="120" w:after="0" w:line="264" w:lineRule="auto"/>
        <w:jc w:val="both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Đăng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ký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thay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đổi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niêm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yết</w:t>
      </w:r>
      <w:proofErr w:type="spellEnd"/>
    </w:p>
    <w:p w14:paraId="1D3ADB20" w14:textId="77777777" w:rsidR="004D213E" w:rsidRPr="00D01606" w:rsidRDefault="004D213E" w:rsidP="004D213E">
      <w:pPr>
        <w:pStyle w:val="pbody1"/>
        <w:spacing w:before="120" w:after="0" w:line="264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proofErr w:type="gram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Thay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đổi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phát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sinh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thay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đổi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tên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chứng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khoán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giao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dịch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khối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lượng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mệnh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giá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hoặc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tổng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giá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trị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chứng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khoán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được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của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mình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gramEnd"/>
    </w:p>
    <w:p w14:paraId="75F515F7" w14:textId="77777777" w:rsidR="004D213E" w:rsidRPr="004D213E" w:rsidRDefault="004D213E" w:rsidP="004D213E">
      <w:pPr>
        <w:pStyle w:val="pbody1"/>
        <w:spacing w:before="120" w:after="0" w:line="264" w:lineRule="auto"/>
        <w:jc w:val="both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Niêm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yết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lại</w:t>
      </w:r>
      <w:proofErr w:type="spellEnd"/>
    </w:p>
    <w:p w14:paraId="56589F89" w14:textId="77777777" w:rsidR="004D213E" w:rsidRPr="00D01606" w:rsidRDefault="004D213E" w:rsidP="004D213E">
      <w:pPr>
        <w:pStyle w:val="pbody1"/>
        <w:spacing w:before="120" w:after="0" w:line="264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đã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khắc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phục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được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hành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vi</w:t>
      </w:r>
      <w:proofErr w:type="gram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phạm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quy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chế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đủ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điều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kiện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để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tiếp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tục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trên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TTCK</w:t>
      </w:r>
    </w:p>
    <w:p w14:paraId="20ED3FE2" w14:textId="77777777" w:rsidR="004D213E" w:rsidRPr="004D213E" w:rsidRDefault="004D213E" w:rsidP="004D213E">
      <w:pPr>
        <w:pStyle w:val="pbody1"/>
        <w:spacing w:before="120" w:after="0" w:line="264" w:lineRule="auto"/>
        <w:jc w:val="both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Niêm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yết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cửa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sau</w:t>
      </w:r>
      <w:proofErr w:type="spellEnd"/>
    </w:p>
    <w:p w14:paraId="48B89745" w14:textId="77777777" w:rsidR="004D213E" w:rsidRPr="00D01606" w:rsidRDefault="004D213E" w:rsidP="004D213E">
      <w:pPr>
        <w:pStyle w:val="pbody1"/>
        <w:spacing w:before="120" w:after="0" w:line="264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Là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trường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hợp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một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tổ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chức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chính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thức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sáp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nhập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, lien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hoặc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tham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gia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vào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hiệp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hội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với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một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tổ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chức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nhóm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quả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là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tổ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chức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đó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lấy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quyền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kiểm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soát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tổ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chức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6C90078F" w14:textId="77777777" w:rsidR="004D213E" w:rsidRPr="004D213E" w:rsidRDefault="004D213E" w:rsidP="004D213E">
      <w:pPr>
        <w:pStyle w:val="pbody1"/>
        <w:spacing w:before="120" w:after="0" w:line="264" w:lineRule="auto"/>
        <w:jc w:val="both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Niêm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yết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toàn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phần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và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niêm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yết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từng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phần</w:t>
      </w:r>
      <w:proofErr w:type="spellEnd"/>
    </w:p>
    <w:p w14:paraId="6C7EDC74" w14:textId="77777777" w:rsidR="004D213E" w:rsidRPr="00D01606" w:rsidRDefault="004D213E" w:rsidP="004D213E">
      <w:pPr>
        <w:pStyle w:val="pbody1"/>
        <w:spacing w:before="120" w:after="0" w:line="264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01606">
        <w:rPr>
          <w:rFonts w:ascii="Times New Roman" w:hAnsi="Times New Roman" w:cs="Times New Roman"/>
          <w:color w:val="auto"/>
          <w:sz w:val="26"/>
          <w:szCs w:val="26"/>
        </w:rPr>
        <w:t>-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toàn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phần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việc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toàn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bộ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cổ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phiếu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sau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đã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phát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hành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ra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chúng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trên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một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SGDCK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trong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nước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hoặc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nước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ngoài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59DC305F" w14:textId="77777777" w:rsidR="00AB2D77" w:rsidRDefault="004D213E" w:rsidP="004D213E">
      <w:pPr>
        <w:rPr>
          <w:rFonts w:cs="Times New Roman"/>
        </w:rPr>
      </w:pPr>
      <w:r w:rsidRPr="00D01606">
        <w:rPr>
          <w:rFonts w:cs="Times New Roman"/>
        </w:rPr>
        <w:t>-</w:t>
      </w:r>
      <w:proofErr w:type="spellStart"/>
      <w:r w:rsidRPr="00D01606">
        <w:rPr>
          <w:rFonts w:cs="Times New Roman"/>
        </w:rPr>
        <w:t>Niêm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yết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từng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phần</w:t>
      </w:r>
      <w:proofErr w:type="spellEnd"/>
      <w:r w:rsidRPr="00D01606">
        <w:rPr>
          <w:rFonts w:cs="Times New Roman"/>
        </w:rPr>
        <w:t xml:space="preserve">: </w:t>
      </w:r>
      <w:proofErr w:type="spellStart"/>
      <w:r w:rsidRPr="00D01606">
        <w:rPr>
          <w:rFonts w:cs="Times New Roman"/>
        </w:rPr>
        <w:t>phát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sinh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trong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trường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hợp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khi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một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công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ty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chỉ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niêm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yết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một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phần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trong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tổng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số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các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cổ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phiếu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đang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lưu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hành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trên</w:t>
      </w:r>
      <w:proofErr w:type="spellEnd"/>
      <w:r w:rsidRPr="00D01606">
        <w:rPr>
          <w:rFonts w:cs="Times New Roman"/>
        </w:rPr>
        <w:t xml:space="preserve"> SGDCK, </w:t>
      </w:r>
      <w:proofErr w:type="spellStart"/>
      <w:r w:rsidRPr="00D01606">
        <w:rPr>
          <w:rFonts w:cs="Times New Roman"/>
        </w:rPr>
        <w:t>phần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còn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lại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không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niêm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yết</w:t>
      </w:r>
      <w:proofErr w:type="spellEnd"/>
      <w:r w:rsidRPr="00D01606">
        <w:rPr>
          <w:rFonts w:cs="Times New Roman"/>
        </w:rPr>
        <w:t>.</w:t>
      </w:r>
    </w:p>
    <w:p w14:paraId="6F388B71" w14:textId="77777777" w:rsidR="004D213E" w:rsidRPr="00D01606" w:rsidRDefault="004D213E" w:rsidP="004D213E">
      <w:pPr>
        <w:pStyle w:val="NormalWeb"/>
        <w:spacing w:before="120" w:beforeAutospacing="0" w:after="0" w:afterAutospacing="0" w:line="264" w:lineRule="auto"/>
        <w:jc w:val="both"/>
        <w:rPr>
          <w:b/>
          <w:sz w:val="26"/>
          <w:szCs w:val="26"/>
        </w:rPr>
      </w:pPr>
      <w:proofErr w:type="spellStart"/>
      <w:r w:rsidRPr="00D01606">
        <w:rPr>
          <w:b/>
          <w:sz w:val="26"/>
          <w:szCs w:val="26"/>
        </w:rPr>
        <w:t>Những</w:t>
      </w:r>
      <w:proofErr w:type="spellEnd"/>
      <w:r w:rsidRPr="00D01606">
        <w:rPr>
          <w:b/>
          <w:sz w:val="26"/>
          <w:szCs w:val="26"/>
        </w:rPr>
        <w:t xml:space="preserve"> </w:t>
      </w:r>
      <w:proofErr w:type="spellStart"/>
      <w:r w:rsidRPr="00D01606">
        <w:rPr>
          <w:b/>
          <w:sz w:val="26"/>
          <w:szCs w:val="26"/>
        </w:rPr>
        <w:t>thuận</w:t>
      </w:r>
      <w:proofErr w:type="spellEnd"/>
      <w:r w:rsidRPr="00D01606">
        <w:rPr>
          <w:b/>
          <w:sz w:val="26"/>
          <w:szCs w:val="26"/>
        </w:rPr>
        <w:t xml:space="preserve"> </w:t>
      </w:r>
      <w:proofErr w:type="spellStart"/>
      <w:r w:rsidRPr="00D01606">
        <w:rPr>
          <w:b/>
          <w:sz w:val="26"/>
          <w:szCs w:val="26"/>
        </w:rPr>
        <w:t>lợi</w:t>
      </w:r>
      <w:proofErr w:type="spellEnd"/>
      <w:r w:rsidRPr="00D01606">
        <w:rPr>
          <w:b/>
          <w:sz w:val="26"/>
          <w:szCs w:val="26"/>
        </w:rPr>
        <w:t xml:space="preserve"> </w:t>
      </w:r>
      <w:proofErr w:type="spellStart"/>
      <w:r w:rsidRPr="00D01606">
        <w:rPr>
          <w:b/>
          <w:sz w:val="26"/>
          <w:szCs w:val="26"/>
        </w:rPr>
        <w:t>và</w:t>
      </w:r>
      <w:proofErr w:type="spellEnd"/>
      <w:r w:rsidRPr="00D01606">
        <w:rPr>
          <w:b/>
          <w:sz w:val="26"/>
          <w:szCs w:val="26"/>
        </w:rPr>
        <w:t xml:space="preserve"> </w:t>
      </w:r>
      <w:proofErr w:type="spellStart"/>
      <w:r w:rsidRPr="00D01606">
        <w:rPr>
          <w:b/>
          <w:sz w:val="26"/>
          <w:szCs w:val="26"/>
        </w:rPr>
        <w:t>khó</w:t>
      </w:r>
      <w:proofErr w:type="spellEnd"/>
      <w:r w:rsidRPr="00D01606">
        <w:rPr>
          <w:b/>
          <w:sz w:val="26"/>
          <w:szCs w:val="26"/>
        </w:rPr>
        <w:t xml:space="preserve"> </w:t>
      </w:r>
      <w:proofErr w:type="spellStart"/>
      <w:r w:rsidRPr="00D01606">
        <w:rPr>
          <w:b/>
          <w:sz w:val="26"/>
          <w:szCs w:val="26"/>
        </w:rPr>
        <w:t>khăn</w:t>
      </w:r>
      <w:proofErr w:type="spellEnd"/>
      <w:r w:rsidRPr="00D01606">
        <w:rPr>
          <w:b/>
          <w:sz w:val="26"/>
          <w:szCs w:val="26"/>
        </w:rPr>
        <w:t xml:space="preserve"> </w:t>
      </w:r>
      <w:proofErr w:type="spellStart"/>
      <w:r w:rsidRPr="00D01606">
        <w:rPr>
          <w:b/>
          <w:sz w:val="26"/>
          <w:szCs w:val="26"/>
        </w:rPr>
        <w:t>của</w:t>
      </w:r>
      <w:proofErr w:type="spellEnd"/>
      <w:r w:rsidRPr="00D01606">
        <w:rPr>
          <w:b/>
          <w:sz w:val="26"/>
          <w:szCs w:val="26"/>
        </w:rPr>
        <w:t xml:space="preserve"> </w:t>
      </w:r>
      <w:proofErr w:type="spellStart"/>
      <w:r w:rsidRPr="00D01606">
        <w:rPr>
          <w:b/>
          <w:sz w:val="26"/>
          <w:szCs w:val="26"/>
        </w:rPr>
        <w:t>việc</w:t>
      </w:r>
      <w:proofErr w:type="spellEnd"/>
      <w:r w:rsidRPr="00D01606">
        <w:rPr>
          <w:b/>
          <w:sz w:val="26"/>
          <w:szCs w:val="26"/>
        </w:rPr>
        <w:t xml:space="preserve"> </w:t>
      </w:r>
      <w:proofErr w:type="spellStart"/>
      <w:r w:rsidRPr="00D01606">
        <w:rPr>
          <w:b/>
          <w:sz w:val="26"/>
          <w:szCs w:val="26"/>
        </w:rPr>
        <w:t>niêm</w:t>
      </w:r>
      <w:proofErr w:type="spellEnd"/>
      <w:r w:rsidRPr="00D01606">
        <w:rPr>
          <w:b/>
          <w:sz w:val="26"/>
          <w:szCs w:val="26"/>
        </w:rPr>
        <w:t xml:space="preserve"> </w:t>
      </w:r>
      <w:proofErr w:type="spellStart"/>
      <w:r w:rsidRPr="00D01606">
        <w:rPr>
          <w:b/>
          <w:sz w:val="26"/>
          <w:szCs w:val="26"/>
        </w:rPr>
        <w:t>yết</w:t>
      </w:r>
      <w:proofErr w:type="spellEnd"/>
      <w:r w:rsidRPr="00D01606">
        <w:rPr>
          <w:b/>
          <w:sz w:val="26"/>
          <w:szCs w:val="26"/>
        </w:rPr>
        <w:t xml:space="preserve"> </w:t>
      </w:r>
      <w:proofErr w:type="spellStart"/>
      <w:r w:rsidRPr="00D01606">
        <w:rPr>
          <w:b/>
          <w:sz w:val="26"/>
          <w:szCs w:val="26"/>
        </w:rPr>
        <w:t>chứng</w:t>
      </w:r>
      <w:proofErr w:type="spellEnd"/>
      <w:r w:rsidRPr="00D01606">
        <w:rPr>
          <w:b/>
          <w:sz w:val="26"/>
          <w:szCs w:val="26"/>
        </w:rPr>
        <w:t xml:space="preserve"> </w:t>
      </w:r>
      <w:proofErr w:type="spellStart"/>
      <w:r w:rsidRPr="00D01606">
        <w:rPr>
          <w:b/>
          <w:sz w:val="26"/>
          <w:szCs w:val="26"/>
        </w:rPr>
        <w:t>khoán</w:t>
      </w:r>
      <w:proofErr w:type="spellEnd"/>
    </w:p>
    <w:p w14:paraId="674A7392" w14:textId="77777777" w:rsidR="004D213E" w:rsidRPr="004D213E" w:rsidRDefault="004D213E" w:rsidP="004D213E">
      <w:pPr>
        <w:pStyle w:val="NormalWeb"/>
        <w:spacing w:before="120" w:beforeAutospacing="0" w:after="0" w:afterAutospacing="0" w:line="264" w:lineRule="auto"/>
        <w:jc w:val="both"/>
        <w:rPr>
          <w:b/>
          <w:i/>
          <w:sz w:val="26"/>
          <w:szCs w:val="26"/>
        </w:rPr>
      </w:pPr>
      <w:proofErr w:type="spellStart"/>
      <w:r w:rsidRPr="004D213E">
        <w:rPr>
          <w:b/>
          <w:i/>
          <w:sz w:val="26"/>
          <w:szCs w:val="26"/>
        </w:rPr>
        <w:t>Thuận</w:t>
      </w:r>
      <w:proofErr w:type="spellEnd"/>
      <w:r w:rsidRPr="004D213E">
        <w:rPr>
          <w:b/>
          <w:i/>
          <w:sz w:val="26"/>
          <w:szCs w:val="26"/>
        </w:rPr>
        <w:t xml:space="preserve"> </w:t>
      </w:r>
      <w:proofErr w:type="spellStart"/>
      <w:r w:rsidRPr="004D213E">
        <w:rPr>
          <w:b/>
          <w:i/>
          <w:sz w:val="26"/>
          <w:szCs w:val="26"/>
        </w:rPr>
        <w:t>lợi</w:t>
      </w:r>
      <w:proofErr w:type="spellEnd"/>
      <w:r w:rsidRPr="004D213E">
        <w:rPr>
          <w:b/>
          <w:i/>
          <w:sz w:val="26"/>
          <w:szCs w:val="26"/>
        </w:rPr>
        <w:t>:</w:t>
      </w:r>
    </w:p>
    <w:p w14:paraId="2E409C41" w14:textId="77777777" w:rsidR="004D213E" w:rsidRPr="00D01606" w:rsidRDefault="004D213E" w:rsidP="004D213E">
      <w:pPr>
        <w:pStyle w:val="pbody1"/>
        <w:spacing w:before="120" w:after="0" w:line="264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01606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-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dễ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dàng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trong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huy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động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vốn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được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có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thể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proofErr w:type="gram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thu</w:t>
      </w:r>
      <w:proofErr w:type="spellEnd"/>
      <w:proofErr w:type="gram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hút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vốn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dài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hạn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qua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phát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hành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chứng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khoán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với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chi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phí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thấp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thường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được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chúng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tín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nhiệm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hơn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được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bởi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vậy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trở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thành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một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được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thì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họ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có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thể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dễ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dàng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trong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việc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huy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động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vốn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với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chi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phí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huy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động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thấp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hơn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7FB738E2" w14:textId="77777777" w:rsidR="004D213E" w:rsidRPr="00D01606" w:rsidRDefault="004D213E" w:rsidP="004D213E">
      <w:pPr>
        <w:pStyle w:val="pbody1"/>
        <w:spacing w:before="120" w:after="0" w:line="264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động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đến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chúng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góp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phần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“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tô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đẹp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”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hình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ảnh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của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trong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nhà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đầu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tư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chủ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nợ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nhà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cung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cấp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khách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hang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những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người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làm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proofErr w:type="gram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,</w:t>
      </w:r>
      <w:proofErr w:type="gram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nhờ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vậy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được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có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“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sức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hút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”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đầu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tư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hơn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đối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với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nhà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đầu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tư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330E3D0C" w14:textId="77777777" w:rsidR="004D213E" w:rsidRPr="00D01606" w:rsidRDefault="004D213E" w:rsidP="004D213E">
      <w:pPr>
        <w:pStyle w:val="pbody1"/>
        <w:spacing w:before="120" w:after="0" w:line="264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Nâng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cao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tính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thanh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khoản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cho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chứng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khoán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chứng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khoán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được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chúng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có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thể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được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nâng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cao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tính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thanh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khoản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mở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rộng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phạm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vi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chấp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nhận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làm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vật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thế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chấp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dễ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dàng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được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sử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dụng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phục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vụ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cho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mục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đích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về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tài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chính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thừa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kế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mục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đích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Hơn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nữa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chứng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khoán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được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có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thể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được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mua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với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một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số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proofErr w:type="gramStart"/>
      <w:r w:rsidRPr="00D01606">
        <w:rPr>
          <w:rFonts w:ascii="Times New Roman" w:hAnsi="Times New Roman" w:cs="Times New Roman"/>
          <w:color w:val="auto"/>
          <w:sz w:val="26"/>
          <w:szCs w:val="26"/>
        </w:rPr>
        <w:t>lượng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rất</w:t>
      </w:r>
      <w:proofErr w:type="spellEnd"/>
      <w:proofErr w:type="gram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nhỏ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, do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đó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nhà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đầu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tư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có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vốn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nhỏ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vẫn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có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thể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dễ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dàng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trở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thành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cổ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của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4448D472" w14:textId="77777777" w:rsidR="004D213E" w:rsidRPr="00D01606" w:rsidRDefault="004D213E" w:rsidP="004D213E">
      <w:pPr>
        <w:pStyle w:val="pbody1"/>
        <w:spacing w:before="120" w:after="0" w:line="264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Ưu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đãi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về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thuế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: thong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thường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ở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thị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trường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chứng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khoán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mới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nổi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tham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gia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được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hưởng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những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chính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sách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ưu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đãi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về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thuế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trong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hoạt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động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kinh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doanh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như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miễn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giảm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thuế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proofErr w:type="gram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thu</w:t>
      </w:r>
      <w:proofErr w:type="spellEnd"/>
      <w:proofErr w:type="gram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nhập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trong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một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số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năm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nhất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định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390AE026" w14:textId="77777777" w:rsidR="004D213E" w:rsidRDefault="004D213E" w:rsidP="004D213E">
      <w:pPr>
        <w:pStyle w:val="pbody1"/>
        <w:spacing w:before="120" w:after="0" w:line="264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Đối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với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nhà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đầu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tư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mua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chứng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khoán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proofErr w:type="gram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sẽ</w:t>
      </w:r>
      <w:proofErr w:type="spellEnd"/>
      <w:proofErr w:type="gram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được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hưởng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chính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sách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ưu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đãi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về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thuế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thu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nhập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DN (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miễn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giảm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đối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với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cổ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tức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lãi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hoặc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chênh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lệch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mua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bán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chứng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khoán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(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lãi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vốn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từ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khoản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đầu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tư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vào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TTCK.</w:t>
      </w:r>
    </w:p>
    <w:p w14:paraId="7145D743" w14:textId="77777777" w:rsidR="004D213E" w:rsidRPr="004D213E" w:rsidRDefault="004D213E" w:rsidP="004D213E">
      <w:pPr>
        <w:pStyle w:val="pbody1"/>
        <w:spacing w:before="120" w:after="0" w:line="264" w:lineRule="auto"/>
        <w:jc w:val="both"/>
        <w:rPr>
          <w:rFonts w:ascii="Times New Roman" w:hAnsi="Times New Roman" w:cs="Times New Roman"/>
          <w:i/>
          <w:color w:val="auto"/>
          <w:sz w:val="26"/>
          <w:szCs w:val="26"/>
        </w:rPr>
      </w:pP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Hạn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proofErr w:type="spellStart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chế</w:t>
      </w:r>
      <w:proofErr w:type="spellEnd"/>
      <w:r w:rsidRPr="004D213E">
        <w:rPr>
          <w:rFonts w:ascii="Times New Roman" w:hAnsi="Times New Roman" w:cs="Times New Roman"/>
          <w:b/>
          <w:i/>
          <w:color w:val="auto"/>
          <w:sz w:val="26"/>
          <w:szCs w:val="26"/>
        </w:rPr>
        <w:t>:</w:t>
      </w:r>
    </w:p>
    <w:p w14:paraId="1F600DCB" w14:textId="77777777" w:rsidR="004D213E" w:rsidRPr="00D01606" w:rsidRDefault="004D213E" w:rsidP="00772C80">
      <w:pPr>
        <w:pStyle w:val="pbody1"/>
        <w:spacing w:before="120" w:after="0" w:line="264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r w:rsidRPr="00D01606">
        <w:rPr>
          <w:rFonts w:ascii="Times New Roman" w:hAnsi="Times New Roman" w:cs="Times New Roman"/>
          <w:color w:val="auto"/>
          <w:sz w:val="26"/>
          <w:szCs w:val="26"/>
        </w:rPr>
        <w:t>-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Nghĩa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vụ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báo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cáo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như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một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đại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chúng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phải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có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nghĩa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vụ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bố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tin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một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cách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đầy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đủ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chính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xác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kịp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thời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liên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quan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đến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mặt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hoạt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động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của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cúng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như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biến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động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có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ảnh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hưởng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đến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proofErr w:type="gramStart"/>
      <w:r w:rsidRPr="00D01606">
        <w:rPr>
          <w:rFonts w:ascii="Times New Roman" w:hAnsi="Times New Roman" w:cs="Times New Roman"/>
          <w:color w:val="auto"/>
          <w:sz w:val="26"/>
          <w:szCs w:val="26"/>
        </w:rPr>
        <w:t>giá</w:t>
      </w:r>
      <w:proofErr w:type="spellEnd"/>
      <w:proofErr w:type="gram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cả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chứng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khoán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niêm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Nghĩa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vụ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bố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thong tin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đại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chúng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trong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một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số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trường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hợp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làm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ảnh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hưởng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đến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bí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quyết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bí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mật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kinh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doanh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gây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phiền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hà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cho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công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D01606">
        <w:rPr>
          <w:rFonts w:ascii="Times New Roman" w:hAnsi="Times New Roman" w:cs="Times New Roman"/>
          <w:color w:val="auto"/>
          <w:sz w:val="26"/>
          <w:szCs w:val="26"/>
        </w:rPr>
        <w:t>ty</w:t>
      </w:r>
      <w:proofErr w:type="spellEnd"/>
      <w:r w:rsidRPr="00D0160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42FDE050" w14:textId="77777777" w:rsidR="004D213E" w:rsidRDefault="004D213E" w:rsidP="00772C80">
      <w:pPr>
        <w:ind w:firstLine="720"/>
        <w:jc w:val="both"/>
      </w:pPr>
      <w:r w:rsidRPr="00D01606">
        <w:rPr>
          <w:rFonts w:cs="Times New Roman"/>
        </w:rPr>
        <w:t>-</w:t>
      </w:r>
      <w:proofErr w:type="spellStart"/>
      <w:r w:rsidRPr="00D01606">
        <w:rPr>
          <w:rFonts w:cs="Times New Roman"/>
        </w:rPr>
        <w:t>Những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cản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trở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trong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việc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thâu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tóm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và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sáp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nhập</w:t>
      </w:r>
      <w:proofErr w:type="spellEnd"/>
      <w:r w:rsidRPr="00D01606">
        <w:rPr>
          <w:rFonts w:cs="Times New Roman"/>
        </w:rPr>
        <w:t xml:space="preserve">: </w:t>
      </w:r>
      <w:proofErr w:type="spellStart"/>
      <w:r w:rsidRPr="00D01606">
        <w:rPr>
          <w:rFonts w:cs="Times New Roman"/>
        </w:rPr>
        <w:t>niêm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yết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bộc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lộ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nguồn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vốn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và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phân</w:t>
      </w:r>
      <w:proofErr w:type="spellEnd"/>
      <w:r w:rsidRPr="00D01606">
        <w:rPr>
          <w:rFonts w:cs="Times New Roman"/>
        </w:rPr>
        <w:t xml:space="preserve"> chia </w:t>
      </w:r>
      <w:proofErr w:type="spellStart"/>
      <w:r w:rsidRPr="00D01606">
        <w:rPr>
          <w:rFonts w:cs="Times New Roman"/>
        </w:rPr>
        <w:t>quyền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biểu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quyết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của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công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ty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cho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những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người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mua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là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những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người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có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thể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gây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bất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tiện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cho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những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cổ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đông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chủ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chốt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và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công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việc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quản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lý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điều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hành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hiện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tại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của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công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ty</w:t>
      </w:r>
      <w:proofErr w:type="spellEnd"/>
      <w:r w:rsidRPr="00D01606">
        <w:rPr>
          <w:rFonts w:cs="Times New Roman"/>
        </w:rPr>
        <w:t xml:space="preserve">. </w:t>
      </w:r>
      <w:proofErr w:type="spellStart"/>
      <w:r w:rsidRPr="00D01606">
        <w:rPr>
          <w:rFonts w:cs="Times New Roman"/>
        </w:rPr>
        <w:t>Công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ty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có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thể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gặp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nhiều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cản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trở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trong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việc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thực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hiện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mục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tiêu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thâu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tóm</w:t>
      </w:r>
      <w:proofErr w:type="spellEnd"/>
      <w:r w:rsidRPr="00D01606">
        <w:rPr>
          <w:rFonts w:cs="Times New Roman"/>
        </w:rPr>
        <w:t xml:space="preserve"> hay </w:t>
      </w:r>
      <w:proofErr w:type="spellStart"/>
      <w:r w:rsidRPr="00D01606">
        <w:rPr>
          <w:rFonts w:cs="Times New Roman"/>
        </w:rPr>
        <w:t>sáp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nhập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của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mình</w:t>
      </w:r>
      <w:proofErr w:type="spellEnd"/>
      <w:proofErr w:type="gramStart"/>
      <w:r w:rsidRPr="00D01606">
        <w:rPr>
          <w:rFonts w:cs="Times New Roman"/>
        </w:rPr>
        <w:t>.</w:t>
      </w:r>
      <w:r>
        <w:rPr>
          <w:rFonts w:cs="Times New Roman"/>
        </w:rPr>
        <w:t>/</w:t>
      </w:r>
      <w:proofErr w:type="gramEnd"/>
      <w:r>
        <w:rPr>
          <w:rFonts w:cs="Times New Roman"/>
        </w:rPr>
        <w:t>.</w:t>
      </w:r>
    </w:p>
    <w:bookmarkEnd w:id="0"/>
    <w:sectPr w:rsidR="004D213E" w:rsidSect="00F1316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75C0A"/>
    <w:multiLevelType w:val="hybridMultilevel"/>
    <w:tmpl w:val="39CA6704"/>
    <w:lvl w:ilvl="0" w:tplc="EDEAB17E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26E80DFE">
      <w:start w:val="1"/>
      <w:numFmt w:val="decimal"/>
      <w:pStyle w:val="NormalJustified"/>
      <w:lvlText w:val="%2.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sz w:val="26"/>
        <w:szCs w:val="26"/>
      </w:rPr>
    </w:lvl>
    <w:lvl w:ilvl="2" w:tplc="76309112">
      <w:start w:val="1"/>
      <w:numFmt w:val="decimal"/>
      <w:lvlText w:val="%3."/>
      <w:lvlJc w:val="left"/>
      <w:pPr>
        <w:tabs>
          <w:tab w:val="num" w:pos="1980"/>
        </w:tabs>
        <w:ind w:left="2700" w:hanging="720"/>
      </w:pPr>
      <w:rPr>
        <w:rFonts w:hint="default"/>
        <w:b w:val="0"/>
        <w:i w:val="0"/>
        <w:sz w:val="26"/>
        <w:szCs w:val="2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3E"/>
    <w:rsid w:val="004D213E"/>
    <w:rsid w:val="00772C80"/>
    <w:rsid w:val="00AB2D77"/>
    <w:rsid w:val="00F1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0112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13E"/>
    <w:rPr>
      <w:rFonts w:ascii="Times New Roman" w:eastAsia="Times New Roman" w:hAnsi="Times New Roman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body1">
    <w:name w:val="pbody1"/>
    <w:basedOn w:val="Normal"/>
    <w:rsid w:val="004D213E"/>
    <w:pPr>
      <w:spacing w:before="245" w:after="245" w:line="336" w:lineRule="auto"/>
    </w:pPr>
    <w:rPr>
      <w:rFonts w:ascii="Arial" w:hAnsi="Arial"/>
      <w:color w:val="000000"/>
      <w:sz w:val="20"/>
      <w:szCs w:val="20"/>
    </w:rPr>
  </w:style>
  <w:style w:type="paragraph" w:customStyle="1" w:styleId="NormalJustified">
    <w:name w:val="Normal + Justified"/>
    <w:aliases w:val="Line spacing:  Multiple 1.15 li"/>
    <w:basedOn w:val="Normal"/>
    <w:rsid w:val="004D213E"/>
    <w:pPr>
      <w:numPr>
        <w:ilvl w:val="1"/>
        <w:numId w:val="1"/>
      </w:numPr>
      <w:spacing w:line="276" w:lineRule="auto"/>
      <w:jc w:val="both"/>
    </w:pPr>
    <w:rPr>
      <w:rFonts w:cs="Times New Roman"/>
    </w:rPr>
  </w:style>
  <w:style w:type="paragraph" w:styleId="NormalWeb">
    <w:name w:val="Normal (Web)"/>
    <w:basedOn w:val="Normal"/>
    <w:uiPriority w:val="99"/>
    <w:rsid w:val="004D213E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13E"/>
    <w:rPr>
      <w:rFonts w:ascii="Times New Roman" w:eastAsia="Times New Roman" w:hAnsi="Times New Roman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body1">
    <w:name w:val="pbody1"/>
    <w:basedOn w:val="Normal"/>
    <w:rsid w:val="004D213E"/>
    <w:pPr>
      <w:spacing w:before="245" w:after="245" w:line="336" w:lineRule="auto"/>
    </w:pPr>
    <w:rPr>
      <w:rFonts w:ascii="Arial" w:hAnsi="Arial"/>
      <w:color w:val="000000"/>
      <w:sz w:val="20"/>
      <w:szCs w:val="20"/>
    </w:rPr>
  </w:style>
  <w:style w:type="paragraph" w:customStyle="1" w:styleId="NormalJustified">
    <w:name w:val="Normal + Justified"/>
    <w:aliases w:val="Line spacing:  Multiple 1.15 li"/>
    <w:basedOn w:val="Normal"/>
    <w:rsid w:val="004D213E"/>
    <w:pPr>
      <w:numPr>
        <w:ilvl w:val="1"/>
        <w:numId w:val="1"/>
      </w:numPr>
      <w:spacing w:line="276" w:lineRule="auto"/>
      <w:jc w:val="both"/>
    </w:pPr>
    <w:rPr>
      <w:rFonts w:cs="Times New Roman"/>
    </w:rPr>
  </w:style>
  <w:style w:type="paragraph" w:styleId="NormalWeb">
    <w:name w:val="Normal (Web)"/>
    <w:basedOn w:val="Normal"/>
    <w:uiPriority w:val="99"/>
    <w:rsid w:val="004D213E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584</Words>
  <Characters>3330</Characters>
  <Application>Microsoft Macintosh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MACAIR</dc:creator>
  <cp:keywords/>
  <dc:description/>
  <cp:lastModifiedBy>MACAIR</cp:lastModifiedBy>
  <cp:revision>2</cp:revision>
  <dcterms:created xsi:type="dcterms:W3CDTF">2017-11-13T12:06:00Z</dcterms:created>
  <dcterms:modified xsi:type="dcterms:W3CDTF">2017-11-13T12:11:00Z</dcterms:modified>
</cp:coreProperties>
</file>