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DEC" w:rsidRPr="00FA7B2A" w:rsidRDefault="00095DEC" w:rsidP="00095DEC">
      <w:pPr>
        <w:tabs>
          <w:tab w:val="left" w:pos="993"/>
        </w:tabs>
        <w:spacing w:after="120"/>
        <w:ind w:firstLine="709"/>
        <w:jc w:val="center"/>
        <w:rPr>
          <w:b/>
          <w:color w:val="FF0000"/>
          <w:spacing w:val="4"/>
          <w:sz w:val="36"/>
          <w:szCs w:val="36"/>
        </w:rPr>
      </w:pPr>
      <w:r w:rsidRPr="00FA7B2A">
        <w:rPr>
          <w:b/>
          <w:color w:val="FF0000"/>
          <w:spacing w:val="4"/>
          <w:sz w:val="36"/>
          <w:szCs w:val="36"/>
        </w:rPr>
        <w:t>BẢN TIN PHÁP CHẾ SỐ 02</w:t>
      </w:r>
    </w:p>
    <w:p w:rsidR="00095DEC" w:rsidRPr="00FA7B2A" w:rsidRDefault="00C33D7E" w:rsidP="00095DEC">
      <w:pPr>
        <w:spacing w:before="360" w:line="276" w:lineRule="auto"/>
        <w:ind w:firstLine="567"/>
        <w:jc w:val="both"/>
        <w:rPr>
          <w:bCs/>
          <w:color w:val="17365D" w:themeColor="text2" w:themeShade="BF"/>
          <w:spacing w:val="4"/>
          <w:sz w:val="28"/>
          <w:szCs w:val="28"/>
        </w:rPr>
      </w:pPr>
      <w:r w:rsidRPr="00FA7B2A">
        <w:rPr>
          <w:color w:val="17365D" w:themeColor="text2" w:themeShade="BF"/>
          <w:spacing w:val="4"/>
          <w:sz w:val="28"/>
          <w:szCs w:val="28"/>
        </w:rPr>
        <w:t>Trong Bản tin pháp chế số 02</w:t>
      </w:r>
      <w:r w:rsidR="00095DEC" w:rsidRPr="00FA7B2A">
        <w:rPr>
          <w:color w:val="17365D" w:themeColor="text2" w:themeShade="BF"/>
          <w:spacing w:val="4"/>
          <w:sz w:val="28"/>
          <w:szCs w:val="28"/>
        </w:rPr>
        <w:t xml:space="preserve">, Bộ phận Pháp chế xin </w:t>
      </w:r>
      <w:r w:rsidR="00095DEC" w:rsidRPr="00FA7B2A">
        <w:rPr>
          <w:bCs/>
          <w:color w:val="17365D" w:themeColor="text2" w:themeShade="BF"/>
          <w:spacing w:val="4"/>
          <w:sz w:val="28"/>
          <w:szCs w:val="28"/>
        </w:rPr>
        <w:t xml:space="preserve">phân tích </w:t>
      </w:r>
      <w:r w:rsidR="00095DEC" w:rsidRPr="00FA7B2A">
        <w:rPr>
          <w:b/>
          <w:bCs/>
          <w:color w:val="17365D" w:themeColor="text2" w:themeShade="BF"/>
          <w:spacing w:val="4"/>
          <w:sz w:val="28"/>
          <w:szCs w:val="28"/>
        </w:rPr>
        <w:t>Dự thảo nghị định hướng dẫn thi hành Luật Giáo dục đại học sửa đổi, bổ sung 2018.</w:t>
      </w:r>
    </w:p>
    <w:p w:rsidR="00095DEC" w:rsidRPr="00FA7B2A" w:rsidRDefault="00095DEC" w:rsidP="00095DEC">
      <w:pPr>
        <w:tabs>
          <w:tab w:val="left" w:pos="142"/>
        </w:tabs>
        <w:spacing w:before="20" w:after="120" w:line="276" w:lineRule="auto"/>
        <w:ind w:firstLine="567"/>
        <w:jc w:val="both"/>
        <w:rPr>
          <w:bCs/>
          <w:color w:val="17365D" w:themeColor="text2" w:themeShade="BF"/>
          <w:spacing w:val="4"/>
          <w:sz w:val="28"/>
          <w:szCs w:val="28"/>
        </w:rPr>
      </w:pPr>
      <w:r w:rsidRPr="00FA7B2A">
        <w:rPr>
          <w:bCs/>
          <w:color w:val="17365D" w:themeColor="text2" w:themeShade="BF"/>
          <w:spacing w:val="4"/>
          <w:sz w:val="28"/>
          <w:szCs w:val="28"/>
        </w:rPr>
        <w:t>Ngày 19/11/2018, Quốc hội thông qua Luật giáo dục đại học sửa đổi, bổ sung 2018 (Luật), đã có hiệu lực kể từ ngày 01/7/2019.</w:t>
      </w:r>
    </w:p>
    <w:p w:rsidR="00095DEC" w:rsidRPr="00FA7B2A" w:rsidRDefault="00095DEC" w:rsidP="00095DEC">
      <w:pPr>
        <w:tabs>
          <w:tab w:val="left" w:pos="142"/>
        </w:tabs>
        <w:spacing w:before="20" w:after="120" w:line="276" w:lineRule="auto"/>
        <w:ind w:firstLine="567"/>
        <w:jc w:val="both"/>
        <w:rPr>
          <w:bCs/>
          <w:color w:val="17365D" w:themeColor="text2" w:themeShade="BF"/>
          <w:spacing w:val="4"/>
          <w:sz w:val="28"/>
          <w:szCs w:val="28"/>
        </w:rPr>
      </w:pPr>
      <w:r w:rsidRPr="00FA7B2A">
        <w:rPr>
          <w:bCs/>
          <w:color w:val="17365D" w:themeColor="text2" w:themeShade="BF"/>
          <w:spacing w:val="4"/>
          <w:sz w:val="28"/>
          <w:szCs w:val="28"/>
        </w:rPr>
        <w:t>Luật này là căn cứ pháp lý quan trọng đối với các cơ sở giáo dục đại học trong việc thực hiện tự chủ và được kỳ vọng là động lực mạnh mẽ cho phát triển giáo dục đại học của Việt Nam. Theo đó, các quy định đổi mới so với trước đây được Luật quy định mang tính định hướng và giao cho Chính phủ quy định chi tiết.</w:t>
      </w:r>
    </w:p>
    <w:p w:rsidR="00095DEC" w:rsidRPr="00FA7B2A" w:rsidRDefault="00095DEC" w:rsidP="00095DEC">
      <w:pPr>
        <w:tabs>
          <w:tab w:val="left" w:pos="142"/>
        </w:tabs>
        <w:spacing w:before="20" w:after="120" w:line="276" w:lineRule="auto"/>
        <w:ind w:firstLine="567"/>
        <w:jc w:val="both"/>
        <w:rPr>
          <w:bCs/>
          <w:color w:val="17365D" w:themeColor="text2" w:themeShade="BF"/>
          <w:spacing w:val="4"/>
          <w:sz w:val="28"/>
          <w:szCs w:val="28"/>
        </w:rPr>
      </w:pPr>
      <w:r w:rsidRPr="00FA7B2A">
        <w:rPr>
          <w:b/>
          <w:bCs/>
          <w:i/>
          <w:color w:val="17365D" w:themeColor="text2" w:themeShade="BF"/>
          <w:spacing w:val="4"/>
          <w:sz w:val="28"/>
          <w:szCs w:val="28"/>
        </w:rPr>
        <w:t>Tuy nhiên</w:t>
      </w:r>
      <w:r w:rsidRPr="00FA7B2A">
        <w:rPr>
          <w:bCs/>
          <w:color w:val="17365D" w:themeColor="text2" w:themeShade="BF"/>
          <w:spacing w:val="4"/>
          <w:sz w:val="28"/>
          <w:szCs w:val="28"/>
        </w:rPr>
        <w:t xml:space="preserve">, </w:t>
      </w:r>
      <w:r w:rsidR="00C33D7E" w:rsidRPr="00FA7B2A">
        <w:rPr>
          <w:bCs/>
          <w:color w:val="17365D" w:themeColor="text2" w:themeShade="BF"/>
          <w:spacing w:val="4"/>
          <w:sz w:val="28"/>
          <w:szCs w:val="28"/>
        </w:rPr>
        <w:t>hiện</w:t>
      </w:r>
      <w:r w:rsidRPr="00FA7B2A">
        <w:rPr>
          <w:bCs/>
          <w:color w:val="17365D" w:themeColor="text2" w:themeShade="BF"/>
          <w:spacing w:val="4"/>
          <w:sz w:val="28"/>
          <w:szCs w:val="28"/>
        </w:rPr>
        <w:t xml:space="preserve"> nay nghị định hướng dẫn </w:t>
      </w:r>
      <w:r w:rsidR="00623F9D" w:rsidRPr="00FA7B2A">
        <w:rPr>
          <w:bCs/>
          <w:color w:val="17365D" w:themeColor="text2" w:themeShade="BF"/>
          <w:spacing w:val="4"/>
          <w:sz w:val="28"/>
          <w:szCs w:val="28"/>
        </w:rPr>
        <w:t>Luật (</w:t>
      </w:r>
      <w:r w:rsidRPr="00FA7B2A">
        <w:rPr>
          <w:bCs/>
          <w:color w:val="17365D" w:themeColor="text2" w:themeShade="BF"/>
          <w:spacing w:val="4"/>
          <w:sz w:val="28"/>
          <w:szCs w:val="28"/>
        </w:rPr>
        <w:t>các nội dung mà Quốc hội đã giao Chính phủ quy định chi tiết</w:t>
      </w:r>
      <w:r w:rsidR="00623F9D" w:rsidRPr="00FA7B2A">
        <w:rPr>
          <w:bCs/>
          <w:color w:val="17365D" w:themeColor="text2" w:themeShade="BF"/>
          <w:spacing w:val="4"/>
          <w:sz w:val="28"/>
          <w:szCs w:val="28"/>
        </w:rPr>
        <w:t>)</w:t>
      </w:r>
      <w:r w:rsidRPr="00FA7B2A">
        <w:rPr>
          <w:bCs/>
          <w:color w:val="17365D" w:themeColor="text2" w:themeShade="BF"/>
          <w:spacing w:val="4"/>
          <w:sz w:val="28"/>
          <w:szCs w:val="28"/>
        </w:rPr>
        <w:t xml:space="preserve"> vẫn trong giai đoạn dự thảo, lấy ý kiến. Vì vậy, trong bản tin n</w:t>
      </w:r>
      <w:r w:rsidR="005E510E" w:rsidRPr="00FA7B2A">
        <w:rPr>
          <w:bCs/>
          <w:color w:val="17365D" w:themeColor="text2" w:themeShade="BF"/>
          <w:spacing w:val="4"/>
          <w:sz w:val="28"/>
          <w:szCs w:val="28"/>
        </w:rPr>
        <w:t>ày chúng tôi xin phân tích D</w:t>
      </w:r>
      <w:r w:rsidRPr="00FA7B2A">
        <w:rPr>
          <w:bCs/>
          <w:color w:val="17365D" w:themeColor="text2" w:themeShade="BF"/>
          <w:spacing w:val="4"/>
          <w:sz w:val="28"/>
          <w:szCs w:val="28"/>
        </w:rPr>
        <w:t>ự thảo nghị định hướng dẫn Luật nhằm có những nhận định ban đầu về nghị định sắp ban hành (</w:t>
      </w:r>
      <w:r w:rsidRPr="00FA7B2A">
        <w:rPr>
          <w:bCs/>
          <w:i/>
          <w:color w:val="17365D" w:themeColor="text2" w:themeShade="BF"/>
          <w:spacing w:val="4"/>
          <w:sz w:val="28"/>
          <w:szCs w:val="28"/>
        </w:rPr>
        <w:t>khi ban hành chính thức có thể sẽ có thay đổi với dự thảo</w:t>
      </w:r>
      <w:r w:rsidRPr="00FA7B2A">
        <w:rPr>
          <w:bCs/>
          <w:color w:val="17365D" w:themeColor="text2" w:themeShade="BF"/>
          <w:spacing w:val="4"/>
          <w:sz w:val="28"/>
          <w:szCs w:val="28"/>
        </w:rPr>
        <w:t>).</w:t>
      </w:r>
    </w:p>
    <w:p w:rsidR="00095DEC" w:rsidRPr="00FA7B2A" w:rsidRDefault="00B33E68" w:rsidP="00095DEC">
      <w:pPr>
        <w:tabs>
          <w:tab w:val="left" w:pos="142"/>
        </w:tabs>
        <w:spacing w:before="20" w:after="120" w:line="276" w:lineRule="auto"/>
        <w:ind w:firstLine="567"/>
        <w:jc w:val="both"/>
        <w:rPr>
          <w:bCs/>
          <w:color w:val="17365D" w:themeColor="text2" w:themeShade="BF"/>
          <w:spacing w:val="4"/>
          <w:sz w:val="28"/>
          <w:szCs w:val="28"/>
        </w:rPr>
      </w:pPr>
      <w:r w:rsidRPr="00FA7B2A">
        <w:rPr>
          <w:bCs/>
          <w:color w:val="17365D" w:themeColor="text2" w:themeShade="BF"/>
          <w:spacing w:val="4"/>
          <w:sz w:val="28"/>
          <w:szCs w:val="28"/>
        </w:rPr>
        <w:t>Việc phân tích sẽ tập trung 12</w:t>
      </w:r>
      <w:r w:rsidR="00095DEC" w:rsidRPr="00FA7B2A">
        <w:rPr>
          <w:bCs/>
          <w:color w:val="17365D" w:themeColor="text2" w:themeShade="BF"/>
          <w:spacing w:val="4"/>
          <w:sz w:val="28"/>
          <w:szCs w:val="28"/>
        </w:rPr>
        <w:t xml:space="preserve"> nội dung </w:t>
      </w:r>
      <w:r w:rsidR="00654CE8" w:rsidRPr="00FA7B2A">
        <w:rPr>
          <w:bCs/>
          <w:color w:val="17365D" w:themeColor="text2" w:themeShade="BF"/>
          <w:spacing w:val="4"/>
          <w:sz w:val="28"/>
          <w:szCs w:val="28"/>
        </w:rPr>
        <w:t>chính</w:t>
      </w:r>
      <w:r w:rsidR="00095DEC" w:rsidRPr="00FA7B2A">
        <w:rPr>
          <w:bCs/>
          <w:color w:val="17365D" w:themeColor="text2" w:themeShade="BF"/>
          <w:spacing w:val="4"/>
          <w:sz w:val="28"/>
          <w:szCs w:val="28"/>
        </w:rPr>
        <w:t xml:space="preserve"> để thấy rõ các điều kiện mà cơ s</w:t>
      </w:r>
      <w:r w:rsidR="00E90B13" w:rsidRPr="00FA7B2A">
        <w:rPr>
          <w:bCs/>
          <w:color w:val="17365D" w:themeColor="text2" w:themeShade="BF"/>
          <w:spacing w:val="4"/>
          <w:sz w:val="28"/>
          <w:szCs w:val="28"/>
        </w:rPr>
        <w:t>ở giáo dục đại học cần chuẩn bị để áp dụng</w:t>
      </w:r>
      <w:r w:rsidR="00C36F28" w:rsidRPr="00FA7B2A">
        <w:rPr>
          <w:bCs/>
          <w:color w:val="17365D" w:themeColor="text2" w:themeShade="BF"/>
          <w:spacing w:val="4"/>
          <w:sz w:val="28"/>
          <w:szCs w:val="28"/>
        </w:rPr>
        <w:t xml:space="preserve"> nghị định khi có hiệu lực thi hành.</w:t>
      </w:r>
    </w:p>
    <w:p w:rsidR="00576742" w:rsidRPr="00FA7B2A" w:rsidRDefault="00095DEC" w:rsidP="00095DEC">
      <w:pPr>
        <w:pStyle w:val="ListParagraph"/>
        <w:numPr>
          <w:ilvl w:val="0"/>
          <w:numId w:val="1"/>
        </w:numPr>
        <w:tabs>
          <w:tab w:val="left" w:pos="142"/>
          <w:tab w:val="left" w:pos="851"/>
        </w:tabs>
        <w:spacing w:before="20" w:after="120"/>
        <w:ind w:left="0" w:firstLine="567"/>
        <w:jc w:val="both"/>
        <w:rPr>
          <w:rFonts w:ascii="Times New Roman" w:hAnsi="Times New Roman"/>
          <w:bCs/>
          <w:color w:val="17365D" w:themeColor="text2" w:themeShade="BF"/>
          <w:spacing w:val="4"/>
          <w:sz w:val="28"/>
          <w:szCs w:val="28"/>
          <w:lang w:val="en-US" w:eastAsia="en-US"/>
        </w:rPr>
      </w:pPr>
      <w:r w:rsidRPr="00FA7B2A">
        <w:rPr>
          <w:rFonts w:ascii="Times New Roman" w:hAnsi="Times New Roman"/>
          <w:b/>
          <w:bCs/>
          <w:color w:val="17365D" w:themeColor="text2" w:themeShade="BF"/>
          <w:spacing w:val="4"/>
          <w:sz w:val="28"/>
          <w:szCs w:val="28"/>
          <w:lang w:val="en-US" w:eastAsia="en-US"/>
        </w:rPr>
        <w:t>Về trình độ đào tạo đối với một số ngành đào tạo chuyên sâu đặc thù</w:t>
      </w:r>
      <w:r w:rsidRPr="00FA7B2A">
        <w:rPr>
          <w:rFonts w:ascii="Times New Roman" w:hAnsi="Times New Roman"/>
          <w:bCs/>
          <w:color w:val="17365D" w:themeColor="text2" w:themeShade="BF"/>
          <w:spacing w:val="4"/>
          <w:sz w:val="28"/>
          <w:szCs w:val="28"/>
          <w:lang w:val="en-US" w:eastAsia="en-US"/>
        </w:rPr>
        <w:t xml:space="preserve"> </w:t>
      </w:r>
    </w:p>
    <w:p w:rsidR="00095DEC" w:rsidRPr="00FA7B2A" w:rsidRDefault="00095DEC" w:rsidP="00576742">
      <w:pPr>
        <w:pStyle w:val="ListParagraph"/>
        <w:tabs>
          <w:tab w:val="left" w:pos="142"/>
          <w:tab w:val="left" w:pos="851"/>
        </w:tabs>
        <w:spacing w:before="20" w:after="120"/>
        <w:ind w:left="567"/>
        <w:jc w:val="both"/>
        <w:rPr>
          <w:rFonts w:ascii="Times New Roman" w:hAnsi="Times New Roman"/>
          <w:bCs/>
          <w:color w:val="17365D" w:themeColor="text2" w:themeShade="BF"/>
          <w:spacing w:val="4"/>
          <w:sz w:val="28"/>
          <w:szCs w:val="28"/>
          <w:lang w:val="en-US" w:eastAsia="en-US"/>
        </w:rPr>
      </w:pPr>
      <w:r w:rsidRPr="00FA7B2A">
        <w:rPr>
          <w:rFonts w:ascii="Times New Roman" w:hAnsi="Times New Roman"/>
          <w:bCs/>
          <w:i/>
          <w:color w:val="17365D" w:themeColor="text2" w:themeShade="BF"/>
          <w:spacing w:val="4"/>
          <w:sz w:val="28"/>
          <w:szCs w:val="28"/>
          <w:lang w:val="en-US" w:eastAsia="en-US"/>
        </w:rPr>
        <w:t>(quy định tại Khoản 4 Điều 6 của Luật)</w:t>
      </w:r>
    </w:p>
    <w:p w:rsidR="00095DEC" w:rsidRPr="00FA7B2A" w:rsidRDefault="00095DEC" w:rsidP="00095DEC">
      <w:pPr>
        <w:tabs>
          <w:tab w:val="left" w:pos="142"/>
        </w:tabs>
        <w:spacing w:before="20" w:after="120"/>
        <w:ind w:firstLine="567"/>
        <w:jc w:val="both"/>
        <w:rPr>
          <w:bCs/>
          <w:color w:val="17365D" w:themeColor="text2" w:themeShade="BF"/>
          <w:spacing w:val="4"/>
          <w:sz w:val="28"/>
          <w:szCs w:val="28"/>
        </w:rPr>
      </w:pPr>
      <w:r w:rsidRPr="00FA7B2A">
        <w:rPr>
          <w:bCs/>
          <w:color w:val="17365D" w:themeColor="text2" w:themeShade="BF"/>
          <w:spacing w:val="4"/>
          <w:sz w:val="28"/>
          <w:szCs w:val="28"/>
        </w:rPr>
        <w:t xml:space="preserve">Dự thảo nghị định (Điều 13) đưa ra khái niệm về trình độ đào </w:t>
      </w:r>
      <w:r w:rsidR="00231F4E" w:rsidRPr="00FA7B2A">
        <w:rPr>
          <w:bCs/>
          <w:color w:val="17365D" w:themeColor="text2" w:themeShade="BF"/>
          <w:spacing w:val="4"/>
          <w:sz w:val="28"/>
          <w:szCs w:val="28"/>
        </w:rPr>
        <w:t xml:space="preserve">tạo </w:t>
      </w:r>
      <w:r w:rsidRPr="00FA7B2A">
        <w:rPr>
          <w:bCs/>
          <w:color w:val="17365D" w:themeColor="text2" w:themeShade="BF"/>
          <w:spacing w:val="4"/>
          <w:sz w:val="28"/>
          <w:szCs w:val="28"/>
        </w:rPr>
        <w:t>chuyên sâu đặc thù và không quy định cụ thể đối với từng ngành đặc thù. Như vậy, mỗi ngành đặc thù sẽ được quy định tại một nghị định riêng.</w:t>
      </w:r>
    </w:p>
    <w:p w:rsidR="00095DEC" w:rsidRPr="00FA7B2A" w:rsidRDefault="00095DEC" w:rsidP="00095DEC">
      <w:pPr>
        <w:tabs>
          <w:tab w:val="left" w:pos="142"/>
        </w:tabs>
        <w:spacing w:before="20" w:after="120"/>
        <w:ind w:firstLine="567"/>
        <w:jc w:val="both"/>
        <w:rPr>
          <w:bCs/>
          <w:color w:val="17365D" w:themeColor="text2" w:themeShade="BF"/>
          <w:spacing w:val="4"/>
          <w:sz w:val="28"/>
          <w:szCs w:val="28"/>
        </w:rPr>
      </w:pPr>
      <w:r w:rsidRPr="00FA7B2A">
        <w:rPr>
          <w:bCs/>
          <w:color w:val="17365D" w:themeColor="text2" w:themeShade="BF"/>
          <w:spacing w:val="4"/>
          <w:sz w:val="28"/>
          <w:szCs w:val="28"/>
        </w:rPr>
        <w:t>Đối với</w:t>
      </w:r>
      <w:r w:rsidRPr="00FA7B2A">
        <w:rPr>
          <w:b/>
          <w:bCs/>
          <w:color w:val="17365D" w:themeColor="text2" w:themeShade="BF"/>
          <w:spacing w:val="4"/>
          <w:sz w:val="28"/>
          <w:szCs w:val="28"/>
        </w:rPr>
        <w:t xml:space="preserve"> lĩnh vực sức khỏe</w:t>
      </w:r>
      <w:r w:rsidRPr="00FA7B2A">
        <w:rPr>
          <w:bCs/>
          <w:color w:val="17365D" w:themeColor="text2" w:themeShade="BF"/>
          <w:spacing w:val="4"/>
          <w:sz w:val="28"/>
          <w:szCs w:val="28"/>
        </w:rPr>
        <w:t>, hiện Bộ Y tế đã có Công văn số 3928/BYT-K2ĐT ngày 09/7/2019 về việc không thực hiện đào tạo định hướng chuyên khoa, đồng thời trình Chính phủ dự thảo nghị định về đào tạo chuyên khoa trong lĩnh vực sức khỏe. Như vậy, việc đào tạo chuyên khoa trong lĩnh vực sức khỏe cần chờ Chính phủ ban hành nghị định quy định cụ thể, sau đó các cơ sở đào tạo mới có căn cứ để tiếp tục triển khai đào tạo chuyên khoa.</w:t>
      </w:r>
    </w:p>
    <w:p w:rsidR="00095DEC" w:rsidRPr="00FA7B2A" w:rsidRDefault="00095DEC" w:rsidP="00095DEC">
      <w:pPr>
        <w:tabs>
          <w:tab w:val="left" w:pos="142"/>
        </w:tabs>
        <w:spacing w:before="20" w:after="120"/>
        <w:ind w:firstLine="567"/>
        <w:jc w:val="both"/>
        <w:rPr>
          <w:bCs/>
          <w:color w:val="17365D" w:themeColor="text2" w:themeShade="BF"/>
          <w:spacing w:val="4"/>
          <w:sz w:val="28"/>
          <w:szCs w:val="28"/>
        </w:rPr>
      </w:pPr>
      <w:r w:rsidRPr="00FA7B2A">
        <w:rPr>
          <w:bCs/>
          <w:color w:val="17365D" w:themeColor="text2" w:themeShade="BF"/>
          <w:spacing w:val="4"/>
          <w:sz w:val="28"/>
          <w:szCs w:val="28"/>
        </w:rPr>
        <w:t>Các lĩnh vực đặc thù khác chưa thấy bộ chuyên ngành xây dựng dự thảo.</w:t>
      </w:r>
    </w:p>
    <w:p w:rsidR="00095DEC" w:rsidRPr="00FA7B2A" w:rsidRDefault="00095DEC" w:rsidP="00095DEC">
      <w:pPr>
        <w:pStyle w:val="ListParagraph"/>
        <w:numPr>
          <w:ilvl w:val="0"/>
          <w:numId w:val="1"/>
        </w:numPr>
        <w:tabs>
          <w:tab w:val="left" w:pos="142"/>
          <w:tab w:val="left" w:pos="851"/>
        </w:tabs>
        <w:spacing w:before="20" w:after="120"/>
        <w:ind w:left="0" w:firstLine="567"/>
        <w:jc w:val="both"/>
        <w:rPr>
          <w:rFonts w:ascii="Times New Roman" w:hAnsi="Times New Roman"/>
          <w:b/>
          <w:bCs/>
          <w:color w:val="17365D" w:themeColor="text2" w:themeShade="BF"/>
          <w:spacing w:val="4"/>
          <w:sz w:val="28"/>
          <w:szCs w:val="28"/>
          <w:lang w:val="en-US" w:eastAsia="en-US"/>
        </w:rPr>
      </w:pPr>
      <w:r w:rsidRPr="00FA7B2A">
        <w:rPr>
          <w:rFonts w:ascii="Times New Roman" w:hAnsi="Times New Roman"/>
          <w:b/>
          <w:bCs/>
          <w:color w:val="17365D" w:themeColor="text2" w:themeShade="BF"/>
          <w:spacing w:val="4"/>
          <w:sz w:val="28"/>
          <w:szCs w:val="28"/>
          <w:lang w:val="en-US" w:eastAsia="en-US"/>
        </w:rPr>
        <w:t>Về cơ sở giáo dục đại học định hướng nghiên cứu</w:t>
      </w:r>
    </w:p>
    <w:p w:rsidR="00095DEC" w:rsidRPr="00FA7B2A" w:rsidRDefault="00095DEC" w:rsidP="00095DEC">
      <w:pPr>
        <w:tabs>
          <w:tab w:val="left" w:pos="142"/>
          <w:tab w:val="left" w:pos="851"/>
        </w:tabs>
        <w:spacing w:before="20" w:after="120"/>
        <w:ind w:firstLine="567"/>
        <w:jc w:val="both"/>
        <w:rPr>
          <w:bCs/>
          <w:color w:val="17365D" w:themeColor="text2" w:themeShade="BF"/>
          <w:spacing w:val="4"/>
          <w:sz w:val="28"/>
          <w:szCs w:val="28"/>
        </w:rPr>
      </w:pPr>
      <w:r w:rsidRPr="00FA7B2A">
        <w:rPr>
          <w:bCs/>
          <w:i/>
          <w:color w:val="17365D" w:themeColor="text2" w:themeShade="BF"/>
          <w:spacing w:val="4"/>
          <w:sz w:val="28"/>
          <w:szCs w:val="28"/>
        </w:rPr>
        <w:t>(quy định tại Khoản 5 Điều 7 của Luật)</w:t>
      </w:r>
    </w:p>
    <w:p w:rsidR="00095DEC" w:rsidRPr="00FA7B2A" w:rsidRDefault="00095DEC" w:rsidP="00095DEC">
      <w:pPr>
        <w:tabs>
          <w:tab w:val="left" w:pos="142"/>
          <w:tab w:val="left" w:pos="851"/>
        </w:tabs>
        <w:spacing w:before="20" w:after="120"/>
        <w:ind w:firstLine="567"/>
        <w:jc w:val="both"/>
        <w:rPr>
          <w:bCs/>
          <w:color w:val="17365D" w:themeColor="text2" w:themeShade="BF"/>
          <w:spacing w:val="4"/>
          <w:sz w:val="28"/>
          <w:szCs w:val="28"/>
        </w:rPr>
      </w:pPr>
      <w:r w:rsidRPr="00FA7B2A">
        <w:rPr>
          <w:bCs/>
          <w:color w:val="17365D" w:themeColor="text2" w:themeShade="BF"/>
          <w:spacing w:val="4"/>
          <w:sz w:val="28"/>
          <w:szCs w:val="28"/>
        </w:rPr>
        <w:t>Dự thảo nghị định (Điều 9) đưa ra các tiêu chí để xác định cơ sở giáo dục đại học định hướng nghiên cứu gồm các tiêu chí về:</w:t>
      </w:r>
    </w:p>
    <w:p w:rsidR="00095DEC" w:rsidRPr="00FA7B2A" w:rsidRDefault="00095DEC" w:rsidP="00095DEC">
      <w:pPr>
        <w:pStyle w:val="ListParagraph"/>
        <w:numPr>
          <w:ilvl w:val="0"/>
          <w:numId w:val="2"/>
        </w:numPr>
        <w:tabs>
          <w:tab w:val="left" w:pos="142"/>
          <w:tab w:val="left" w:pos="851"/>
        </w:tabs>
        <w:spacing w:before="20" w:after="120"/>
        <w:ind w:left="0" w:firstLine="567"/>
        <w:jc w:val="both"/>
        <w:rPr>
          <w:rFonts w:ascii="Times New Roman" w:hAnsi="Times New Roman"/>
          <w:bCs/>
          <w:color w:val="17365D" w:themeColor="text2" w:themeShade="BF"/>
          <w:spacing w:val="4"/>
          <w:sz w:val="28"/>
          <w:szCs w:val="28"/>
          <w:lang w:val="en-US" w:eastAsia="en-US"/>
        </w:rPr>
      </w:pPr>
      <w:r w:rsidRPr="00FA7B2A">
        <w:rPr>
          <w:rFonts w:ascii="Times New Roman" w:hAnsi="Times New Roman"/>
          <w:bCs/>
          <w:color w:val="17365D" w:themeColor="text2" w:themeShade="BF"/>
          <w:spacing w:val="4"/>
          <w:sz w:val="28"/>
          <w:szCs w:val="28"/>
        </w:rPr>
        <w:t>Tỷ lệ chương trình đào tạo thạc sĩ, tiến sĩ (≥ 50%);</w:t>
      </w:r>
    </w:p>
    <w:p w:rsidR="00095DEC" w:rsidRPr="00FA7B2A" w:rsidRDefault="00095DEC" w:rsidP="00095DEC">
      <w:pPr>
        <w:pStyle w:val="ListParagraph"/>
        <w:numPr>
          <w:ilvl w:val="0"/>
          <w:numId w:val="2"/>
        </w:numPr>
        <w:tabs>
          <w:tab w:val="left" w:pos="142"/>
          <w:tab w:val="left" w:pos="851"/>
        </w:tabs>
        <w:spacing w:before="20" w:after="120"/>
        <w:ind w:left="0" w:firstLine="567"/>
        <w:jc w:val="both"/>
        <w:rPr>
          <w:rFonts w:ascii="Times New Roman" w:hAnsi="Times New Roman"/>
          <w:bCs/>
          <w:color w:val="17365D" w:themeColor="text2" w:themeShade="BF"/>
          <w:spacing w:val="4"/>
          <w:sz w:val="28"/>
          <w:szCs w:val="28"/>
          <w:lang w:val="en-US" w:eastAsia="en-US"/>
        </w:rPr>
      </w:pPr>
      <w:r w:rsidRPr="00FA7B2A">
        <w:rPr>
          <w:rFonts w:ascii="Times New Roman" w:hAnsi="Times New Roman"/>
          <w:bCs/>
          <w:color w:val="17365D" w:themeColor="text2" w:themeShade="BF"/>
          <w:spacing w:val="4"/>
          <w:sz w:val="28"/>
          <w:szCs w:val="28"/>
        </w:rPr>
        <w:t>Tỷ lệ nguồn thu từ hoạt động khoa học (≥ 25%);</w:t>
      </w:r>
    </w:p>
    <w:p w:rsidR="00095DEC" w:rsidRPr="00FA7B2A" w:rsidRDefault="00095DEC" w:rsidP="00095DEC">
      <w:pPr>
        <w:pStyle w:val="ListParagraph"/>
        <w:numPr>
          <w:ilvl w:val="0"/>
          <w:numId w:val="2"/>
        </w:numPr>
        <w:tabs>
          <w:tab w:val="left" w:pos="142"/>
          <w:tab w:val="left" w:pos="851"/>
        </w:tabs>
        <w:spacing w:before="20" w:after="120"/>
        <w:ind w:left="0" w:firstLine="567"/>
        <w:jc w:val="both"/>
        <w:rPr>
          <w:rFonts w:ascii="Times New Roman" w:hAnsi="Times New Roman"/>
          <w:bCs/>
          <w:color w:val="17365D" w:themeColor="text2" w:themeShade="BF"/>
          <w:spacing w:val="4"/>
          <w:sz w:val="28"/>
          <w:szCs w:val="28"/>
          <w:lang w:val="en-US" w:eastAsia="en-US"/>
        </w:rPr>
      </w:pPr>
      <w:r w:rsidRPr="00FA7B2A">
        <w:rPr>
          <w:rFonts w:ascii="Times New Roman" w:hAnsi="Times New Roman"/>
          <w:bCs/>
          <w:color w:val="17365D" w:themeColor="text2" w:themeShade="BF"/>
          <w:spacing w:val="4"/>
          <w:sz w:val="28"/>
          <w:szCs w:val="28"/>
        </w:rPr>
        <w:lastRenderedPageBreak/>
        <w:t>Số lượng công bố tối thiểu 100 bài báo ISI/Scopus/năm và tỷ lệ trung bình 0,3 bài/năm/giảng viên trong 3 năm gần nhất;</w:t>
      </w:r>
    </w:p>
    <w:p w:rsidR="00095DEC" w:rsidRPr="00FA7B2A" w:rsidRDefault="00095DEC" w:rsidP="00095DEC">
      <w:pPr>
        <w:pStyle w:val="ListParagraph"/>
        <w:numPr>
          <w:ilvl w:val="0"/>
          <w:numId w:val="2"/>
        </w:numPr>
        <w:tabs>
          <w:tab w:val="left" w:pos="142"/>
          <w:tab w:val="left" w:pos="851"/>
        </w:tabs>
        <w:spacing w:before="20" w:after="120"/>
        <w:ind w:left="0" w:firstLine="567"/>
        <w:jc w:val="both"/>
        <w:rPr>
          <w:rFonts w:ascii="Times New Roman" w:hAnsi="Times New Roman"/>
          <w:bCs/>
          <w:color w:val="17365D" w:themeColor="text2" w:themeShade="BF"/>
          <w:spacing w:val="4"/>
          <w:sz w:val="28"/>
          <w:szCs w:val="28"/>
          <w:lang w:val="en-US" w:eastAsia="en-US"/>
        </w:rPr>
      </w:pPr>
      <w:r w:rsidRPr="00FA7B2A">
        <w:rPr>
          <w:rFonts w:ascii="Times New Roman" w:hAnsi="Times New Roman"/>
          <w:bCs/>
          <w:color w:val="17365D" w:themeColor="text2" w:themeShade="BF"/>
          <w:spacing w:val="4"/>
          <w:sz w:val="28"/>
          <w:szCs w:val="28"/>
        </w:rPr>
        <w:t>Tỷ lệ sinh viên trên giảng viên (≤ 20/1);</w:t>
      </w:r>
    </w:p>
    <w:p w:rsidR="00095DEC" w:rsidRPr="00FA7B2A" w:rsidRDefault="00095DEC" w:rsidP="00095DEC">
      <w:pPr>
        <w:pStyle w:val="ListParagraph"/>
        <w:numPr>
          <w:ilvl w:val="0"/>
          <w:numId w:val="2"/>
        </w:numPr>
        <w:tabs>
          <w:tab w:val="left" w:pos="142"/>
          <w:tab w:val="left" w:pos="851"/>
        </w:tabs>
        <w:spacing w:before="20" w:after="120"/>
        <w:ind w:left="0" w:firstLine="567"/>
        <w:jc w:val="both"/>
        <w:rPr>
          <w:rFonts w:ascii="Times New Roman" w:hAnsi="Times New Roman"/>
          <w:bCs/>
          <w:color w:val="17365D" w:themeColor="text2" w:themeShade="BF"/>
          <w:spacing w:val="4"/>
          <w:sz w:val="28"/>
          <w:szCs w:val="28"/>
          <w:lang w:val="en-US" w:eastAsia="en-US"/>
        </w:rPr>
      </w:pPr>
      <w:r w:rsidRPr="00FA7B2A">
        <w:rPr>
          <w:rFonts w:ascii="Times New Roman" w:hAnsi="Times New Roman"/>
          <w:bCs/>
          <w:color w:val="17365D" w:themeColor="text2" w:themeShade="BF"/>
          <w:spacing w:val="4"/>
          <w:sz w:val="28"/>
          <w:szCs w:val="28"/>
        </w:rPr>
        <w:t>Tỷ lệ giảng viên cơ hữu là tiến sĩ (≥ 50%).</w:t>
      </w:r>
    </w:p>
    <w:p w:rsidR="00095DEC" w:rsidRPr="00FA7B2A" w:rsidRDefault="00095DEC" w:rsidP="00095DEC">
      <w:pPr>
        <w:tabs>
          <w:tab w:val="left" w:pos="142"/>
          <w:tab w:val="left" w:pos="851"/>
        </w:tabs>
        <w:spacing w:before="20" w:after="120"/>
        <w:ind w:firstLine="567"/>
        <w:jc w:val="both"/>
        <w:rPr>
          <w:bCs/>
          <w:color w:val="17365D" w:themeColor="text2" w:themeShade="BF"/>
          <w:spacing w:val="4"/>
          <w:sz w:val="28"/>
          <w:szCs w:val="28"/>
        </w:rPr>
      </w:pPr>
      <w:r w:rsidRPr="00FA7B2A">
        <w:rPr>
          <w:bCs/>
          <w:color w:val="17365D" w:themeColor="text2" w:themeShade="BF"/>
          <w:spacing w:val="4"/>
          <w:sz w:val="28"/>
          <w:szCs w:val="28"/>
        </w:rPr>
        <w:t>Trên cơ sở dữ liệu quốc gia về giáo dục đại học do các cơ sở giáo dục đại học báo cáo, Bộ Giáo dục và Đào tạo công bố danh sách các cơ sở giáo dục đại học đạt các tiêu chuẩn định hướng nghiên cứu.</w:t>
      </w:r>
    </w:p>
    <w:p w:rsidR="00095DEC" w:rsidRPr="00FA7B2A" w:rsidRDefault="00095DEC" w:rsidP="00095DEC">
      <w:pPr>
        <w:pStyle w:val="ListParagraph"/>
        <w:numPr>
          <w:ilvl w:val="0"/>
          <w:numId w:val="1"/>
        </w:numPr>
        <w:tabs>
          <w:tab w:val="left" w:pos="142"/>
          <w:tab w:val="left" w:pos="851"/>
        </w:tabs>
        <w:spacing w:before="20" w:after="120"/>
        <w:ind w:left="0" w:firstLine="567"/>
        <w:jc w:val="both"/>
        <w:rPr>
          <w:rFonts w:ascii="Times New Roman" w:hAnsi="Times New Roman"/>
          <w:b/>
          <w:bCs/>
          <w:color w:val="17365D" w:themeColor="text2" w:themeShade="BF"/>
          <w:spacing w:val="4"/>
          <w:sz w:val="28"/>
          <w:szCs w:val="28"/>
        </w:rPr>
      </w:pPr>
      <w:r w:rsidRPr="00FA7B2A">
        <w:rPr>
          <w:rFonts w:ascii="Times New Roman" w:hAnsi="Times New Roman"/>
          <w:b/>
          <w:bCs/>
          <w:color w:val="17365D" w:themeColor="text2" w:themeShade="BF"/>
          <w:spacing w:val="4"/>
          <w:sz w:val="28"/>
          <w:szCs w:val="28"/>
        </w:rPr>
        <w:t>Về chuyển trường đại học thành đại học</w:t>
      </w:r>
    </w:p>
    <w:p w:rsidR="00095DEC" w:rsidRPr="00FA7B2A" w:rsidRDefault="00095DEC" w:rsidP="00095DEC">
      <w:pPr>
        <w:tabs>
          <w:tab w:val="left" w:pos="142"/>
          <w:tab w:val="left" w:pos="851"/>
        </w:tabs>
        <w:spacing w:before="20" w:after="120"/>
        <w:ind w:firstLine="567"/>
        <w:jc w:val="both"/>
        <w:rPr>
          <w:bCs/>
          <w:color w:val="17365D" w:themeColor="text2" w:themeShade="BF"/>
          <w:spacing w:val="4"/>
          <w:sz w:val="28"/>
          <w:szCs w:val="28"/>
        </w:rPr>
      </w:pPr>
      <w:r w:rsidRPr="00FA7B2A">
        <w:rPr>
          <w:bCs/>
          <w:i/>
          <w:color w:val="17365D" w:themeColor="text2" w:themeShade="BF"/>
          <w:spacing w:val="4"/>
          <w:sz w:val="28"/>
          <w:szCs w:val="28"/>
        </w:rPr>
        <w:t>(quy định tại Khoản 5 Điều 7 của Luật)</w:t>
      </w:r>
    </w:p>
    <w:p w:rsidR="00095DEC" w:rsidRPr="00FA7B2A" w:rsidRDefault="00095DEC" w:rsidP="00095DEC">
      <w:pPr>
        <w:tabs>
          <w:tab w:val="left" w:pos="142"/>
          <w:tab w:val="left" w:pos="851"/>
        </w:tabs>
        <w:spacing w:before="20" w:after="120"/>
        <w:ind w:firstLine="567"/>
        <w:jc w:val="both"/>
        <w:rPr>
          <w:bCs/>
          <w:color w:val="17365D" w:themeColor="text2" w:themeShade="BF"/>
          <w:spacing w:val="4"/>
          <w:sz w:val="28"/>
          <w:szCs w:val="28"/>
        </w:rPr>
      </w:pPr>
      <w:r w:rsidRPr="00FA7B2A">
        <w:rPr>
          <w:bCs/>
          <w:color w:val="17365D" w:themeColor="text2" w:themeShade="BF"/>
          <w:spacing w:val="4"/>
          <w:sz w:val="28"/>
          <w:szCs w:val="28"/>
        </w:rPr>
        <w:t>Dự thảo nghị định (Điều 4) quy định:</w:t>
      </w:r>
    </w:p>
    <w:p w:rsidR="00095DEC" w:rsidRPr="00FA7B2A" w:rsidRDefault="00095DEC" w:rsidP="00095DEC">
      <w:pPr>
        <w:pStyle w:val="ListParagraph"/>
        <w:numPr>
          <w:ilvl w:val="0"/>
          <w:numId w:val="3"/>
        </w:numPr>
        <w:tabs>
          <w:tab w:val="left" w:pos="142"/>
          <w:tab w:val="left" w:pos="851"/>
        </w:tabs>
        <w:spacing w:before="20" w:after="120"/>
        <w:ind w:left="709" w:hanging="142"/>
        <w:jc w:val="both"/>
        <w:rPr>
          <w:rFonts w:ascii="Times New Roman" w:hAnsi="Times New Roman"/>
          <w:b/>
          <w:bCs/>
          <w:i/>
          <w:color w:val="17365D" w:themeColor="text2" w:themeShade="BF"/>
          <w:spacing w:val="4"/>
          <w:sz w:val="28"/>
          <w:szCs w:val="28"/>
        </w:rPr>
      </w:pPr>
      <w:r w:rsidRPr="00FA7B2A">
        <w:rPr>
          <w:rFonts w:ascii="Times New Roman" w:hAnsi="Times New Roman"/>
          <w:b/>
          <w:bCs/>
          <w:i/>
          <w:color w:val="17365D" w:themeColor="text2" w:themeShade="BF"/>
          <w:spacing w:val="4"/>
          <w:sz w:val="28"/>
          <w:szCs w:val="28"/>
        </w:rPr>
        <w:t>Điều kiện chuyển trường đại học thành đại học gồm:</w:t>
      </w:r>
    </w:p>
    <w:p w:rsidR="00095DEC" w:rsidRPr="00FA7B2A" w:rsidRDefault="00095DEC" w:rsidP="00095DEC">
      <w:pPr>
        <w:pStyle w:val="ListParagraph"/>
        <w:numPr>
          <w:ilvl w:val="0"/>
          <w:numId w:val="2"/>
        </w:numPr>
        <w:tabs>
          <w:tab w:val="left" w:pos="142"/>
          <w:tab w:val="left" w:pos="851"/>
        </w:tabs>
        <w:spacing w:before="20" w:after="120"/>
        <w:ind w:left="0" w:firstLine="567"/>
        <w:jc w:val="both"/>
        <w:rPr>
          <w:rFonts w:ascii="Times New Roman" w:hAnsi="Times New Roman"/>
          <w:bCs/>
          <w:color w:val="17365D" w:themeColor="text2" w:themeShade="BF"/>
          <w:spacing w:val="4"/>
          <w:sz w:val="28"/>
          <w:szCs w:val="28"/>
        </w:rPr>
      </w:pPr>
      <w:r w:rsidRPr="00FA7B2A">
        <w:rPr>
          <w:rFonts w:ascii="Times New Roman" w:hAnsi="Times New Roman"/>
          <w:bCs/>
          <w:color w:val="17365D" w:themeColor="text2" w:themeShade="BF"/>
          <w:spacing w:val="4"/>
          <w:sz w:val="28"/>
          <w:szCs w:val="28"/>
        </w:rPr>
        <w:t>Trường đại học đã đạt chuẩn kiểm định chất lượng;</w:t>
      </w:r>
    </w:p>
    <w:p w:rsidR="00095DEC" w:rsidRPr="00FA7B2A" w:rsidRDefault="00095DEC" w:rsidP="00095DEC">
      <w:pPr>
        <w:pStyle w:val="ListParagraph"/>
        <w:numPr>
          <w:ilvl w:val="0"/>
          <w:numId w:val="2"/>
        </w:numPr>
        <w:tabs>
          <w:tab w:val="left" w:pos="142"/>
          <w:tab w:val="left" w:pos="851"/>
        </w:tabs>
        <w:spacing w:before="20" w:after="120"/>
        <w:ind w:left="0" w:firstLine="567"/>
        <w:jc w:val="both"/>
        <w:rPr>
          <w:rFonts w:ascii="Times New Roman" w:hAnsi="Times New Roman"/>
          <w:bCs/>
          <w:color w:val="17365D" w:themeColor="text2" w:themeShade="BF"/>
          <w:spacing w:val="4"/>
          <w:sz w:val="28"/>
          <w:szCs w:val="28"/>
        </w:rPr>
      </w:pPr>
      <w:r w:rsidRPr="00FA7B2A">
        <w:rPr>
          <w:rFonts w:ascii="Times New Roman" w:hAnsi="Times New Roman"/>
          <w:bCs/>
          <w:color w:val="17365D" w:themeColor="text2" w:themeShade="BF"/>
          <w:spacing w:val="4"/>
          <w:sz w:val="28"/>
          <w:szCs w:val="28"/>
        </w:rPr>
        <w:t xml:space="preserve">Có ít nhất </w:t>
      </w:r>
      <w:r w:rsidRPr="00FA7B2A">
        <w:rPr>
          <w:rFonts w:ascii="Times New Roman" w:hAnsi="Times New Roman"/>
          <w:b/>
          <w:bCs/>
          <w:color w:val="17365D" w:themeColor="text2" w:themeShade="BF"/>
          <w:spacing w:val="4"/>
          <w:sz w:val="28"/>
          <w:szCs w:val="28"/>
        </w:rPr>
        <w:t>05</w:t>
      </w:r>
      <w:r w:rsidRPr="00FA7B2A">
        <w:rPr>
          <w:rFonts w:ascii="Times New Roman" w:hAnsi="Times New Roman"/>
          <w:bCs/>
          <w:color w:val="17365D" w:themeColor="text2" w:themeShade="BF"/>
          <w:spacing w:val="4"/>
          <w:sz w:val="28"/>
          <w:szCs w:val="28"/>
        </w:rPr>
        <w:t xml:space="preserve"> trường (con) thuộc trường đại học được thành lập;</w:t>
      </w:r>
    </w:p>
    <w:p w:rsidR="00095DEC" w:rsidRPr="00FA7B2A" w:rsidRDefault="00095DEC" w:rsidP="00095DEC">
      <w:pPr>
        <w:pStyle w:val="ListParagraph"/>
        <w:numPr>
          <w:ilvl w:val="0"/>
          <w:numId w:val="2"/>
        </w:numPr>
        <w:tabs>
          <w:tab w:val="left" w:pos="142"/>
          <w:tab w:val="left" w:pos="851"/>
        </w:tabs>
        <w:spacing w:before="20" w:after="120"/>
        <w:ind w:left="0" w:firstLine="567"/>
        <w:jc w:val="both"/>
        <w:rPr>
          <w:rFonts w:ascii="Times New Roman" w:hAnsi="Times New Roman"/>
          <w:bCs/>
          <w:color w:val="17365D" w:themeColor="text2" w:themeShade="BF"/>
          <w:spacing w:val="4"/>
          <w:sz w:val="28"/>
          <w:szCs w:val="28"/>
        </w:rPr>
      </w:pPr>
      <w:r w:rsidRPr="00FA7B2A">
        <w:rPr>
          <w:rFonts w:ascii="Times New Roman" w:hAnsi="Times New Roman"/>
          <w:bCs/>
          <w:color w:val="17365D" w:themeColor="text2" w:themeShade="BF"/>
          <w:spacing w:val="4"/>
          <w:sz w:val="28"/>
          <w:szCs w:val="28"/>
        </w:rPr>
        <w:t>Có nghị quyết của hội đồng trường;</w:t>
      </w:r>
    </w:p>
    <w:p w:rsidR="00095DEC" w:rsidRPr="00FA7B2A" w:rsidRDefault="00095DEC" w:rsidP="00095DEC">
      <w:pPr>
        <w:pStyle w:val="ListParagraph"/>
        <w:numPr>
          <w:ilvl w:val="0"/>
          <w:numId w:val="2"/>
        </w:numPr>
        <w:tabs>
          <w:tab w:val="left" w:pos="142"/>
          <w:tab w:val="left" w:pos="851"/>
        </w:tabs>
        <w:spacing w:before="20" w:after="120"/>
        <w:ind w:left="0" w:firstLine="567"/>
        <w:jc w:val="both"/>
        <w:rPr>
          <w:rFonts w:ascii="Times New Roman" w:hAnsi="Times New Roman"/>
          <w:bCs/>
          <w:color w:val="17365D" w:themeColor="text2" w:themeShade="BF"/>
          <w:spacing w:val="4"/>
          <w:sz w:val="28"/>
          <w:szCs w:val="28"/>
        </w:rPr>
      </w:pPr>
      <w:r w:rsidRPr="00FA7B2A">
        <w:rPr>
          <w:rFonts w:ascii="Times New Roman" w:hAnsi="Times New Roman"/>
          <w:bCs/>
          <w:color w:val="17365D" w:themeColor="text2" w:themeShade="BF"/>
          <w:spacing w:val="4"/>
          <w:sz w:val="28"/>
          <w:szCs w:val="28"/>
        </w:rPr>
        <w:t xml:space="preserve">Có ý kiến chấp thuận của cơ quan quản lý trực tiếp trường đại học đối với trường đại học công lập; có sự đồng thuận của các nhà đầu tư đại diện ít nhất </w:t>
      </w:r>
      <w:r w:rsidRPr="00FA7B2A">
        <w:rPr>
          <w:rFonts w:ascii="Times New Roman" w:hAnsi="Times New Roman"/>
          <w:b/>
          <w:bCs/>
          <w:color w:val="17365D" w:themeColor="text2" w:themeShade="BF"/>
          <w:spacing w:val="4"/>
          <w:sz w:val="28"/>
          <w:szCs w:val="28"/>
        </w:rPr>
        <w:t>75%</w:t>
      </w:r>
      <w:r w:rsidRPr="00FA7B2A">
        <w:rPr>
          <w:rFonts w:ascii="Times New Roman" w:hAnsi="Times New Roman"/>
          <w:bCs/>
          <w:color w:val="17365D" w:themeColor="text2" w:themeShade="BF"/>
          <w:spacing w:val="4"/>
          <w:sz w:val="28"/>
          <w:szCs w:val="28"/>
        </w:rPr>
        <w:t xml:space="preserve"> tổng số vốn góp đối với trường đại học tư thục;</w:t>
      </w:r>
    </w:p>
    <w:p w:rsidR="00095DEC" w:rsidRPr="00FA7B2A" w:rsidRDefault="00095DEC" w:rsidP="00095DEC">
      <w:pPr>
        <w:pStyle w:val="ListParagraph"/>
        <w:numPr>
          <w:ilvl w:val="0"/>
          <w:numId w:val="2"/>
        </w:numPr>
        <w:tabs>
          <w:tab w:val="left" w:pos="142"/>
          <w:tab w:val="left" w:pos="851"/>
        </w:tabs>
        <w:spacing w:before="20" w:after="120"/>
        <w:ind w:left="0" w:firstLine="567"/>
        <w:jc w:val="both"/>
        <w:rPr>
          <w:rFonts w:ascii="Times New Roman" w:hAnsi="Times New Roman"/>
          <w:bCs/>
          <w:color w:val="17365D" w:themeColor="text2" w:themeShade="BF"/>
          <w:spacing w:val="4"/>
          <w:sz w:val="28"/>
          <w:szCs w:val="28"/>
        </w:rPr>
      </w:pPr>
      <w:r w:rsidRPr="00FA7B2A">
        <w:rPr>
          <w:rFonts w:ascii="Times New Roman" w:hAnsi="Times New Roman"/>
          <w:bCs/>
          <w:color w:val="17365D" w:themeColor="text2" w:themeShade="BF"/>
          <w:spacing w:val="4"/>
          <w:sz w:val="28"/>
          <w:szCs w:val="28"/>
        </w:rPr>
        <w:t>Có văn bản chấp  thuận của UBND cấp tỉnh nơi có trụ sở chính của trường đại học.</w:t>
      </w:r>
    </w:p>
    <w:p w:rsidR="00095DEC" w:rsidRPr="00FA7B2A" w:rsidRDefault="00095DEC" w:rsidP="00095DEC">
      <w:pPr>
        <w:pStyle w:val="ListParagraph"/>
        <w:numPr>
          <w:ilvl w:val="0"/>
          <w:numId w:val="3"/>
        </w:numPr>
        <w:tabs>
          <w:tab w:val="left" w:pos="142"/>
          <w:tab w:val="left" w:pos="709"/>
          <w:tab w:val="left" w:pos="851"/>
        </w:tabs>
        <w:spacing w:before="20" w:after="120"/>
        <w:ind w:left="0" w:firstLine="567"/>
        <w:jc w:val="both"/>
        <w:rPr>
          <w:rFonts w:ascii="Times New Roman" w:hAnsi="Times New Roman"/>
          <w:b/>
          <w:bCs/>
          <w:i/>
          <w:color w:val="17365D" w:themeColor="text2" w:themeShade="BF"/>
          <w:spacing w:val="4"/>
          <w:sz w:val="28"/>
          <w:szCs w:val="28"/>
        </w:rPr>
      </w:pPr>
      <w:r w:rsidRPr="00FA7B2A">
        <w:rPr>
          <w:rFonts w:ascii="Times New Roman" w:hAnsi="Times New Roman"/>
          <w:b/>
          <w:bCs/>
          <w:i/>
          <w:color w:val="17365D" w:themeColor="text2" w:themeShade="BF"/>
          <w:spacing w:val="4"/>
          <w:sz w:val="28"/>
          <w:szCs w:val="28"/>
        </w:rPr>
        <w:t xml:space="preserve"> Giao hội đồng trường quyết định việc thành lập trường con, với các điều kiện thành lập trường con như sau:</w:t>
      </w:r>
    </w:p>
    <w:p w:rsidR="00095DEC" w:rsidRPr="00FA7B2A" w:rsidRDefault="00095DEC" w:rsidP="00095DEC">
      <w:pPr>
        <w:pStyle w:val="ListParagraph"/>
        <w:numPr>
          <w:ilvl w:val="0"/>
          <w:numId w:val="2"/>
        </w:numPr>
        <w:tabs>
          <w:tab w:val="left" w:pos="142"/>
          <w:tab w:val="left" w:pos="851"/>
        </w:tabs>
        <w:spacing w:before="20" w:after="120"/>
        <w:ind w:left="0" w:firstLine="567"/>
        <w:jc w:val="both"/>
        <w:rPr>
          <w:rFonts w:ascii="Times New Roman" w:hAnsi="Times New Roman"/>
          <w:bCs/>
          <w:color w:val="17365D" w:themeColor="text2" w:themeShade="BF"/>
          <w:spacing w:val="4"/>
          <w:sz w:val="28"/>
          <w:szCs w:val="28"/>
        </w:rPr>
      </w:pPr>
      <w:r w:rsidRPr="00FA7B2A">
        <w:rPr>
          <w:rFonts w:ascii="Times New Roman" w:hAnsi="Times New Roman"/>
          <w:bCs/>
          <w:color w:val="17365D" w:themeColor="text2" w:themeShade="BF"/>
          <w:spacing w:val="4"/>
          <w:sz w:val="28"/>
          <w:szCs w:val="28"/>
        </w:rPr>
        <w:t xml:space="preserve">Có tối thiểu </w:t>
      </w:r>
      <w:r w:rsidRPr="00FA7B2A">
        <w:rPr>
          <w:rFonts w:ascii="Times New Roman" w:hAnsi="Times New Roman"/>
          <w:b/>
          <w:bCs/>
          <w:color w:val="17365D" w:themeColor="text2" w:themeShade="BF"/>
          <w:spacing w:val="4"/>
          <w:sz w:val="28"/>
          <w:szCs w:val="28"/>
        </w:rPr>
        <w:t>05</w:t>
      </w:r>
      <w:r w:rsidRPr="00FA7B2A">
        <w:rPr>
          <w:rFonts w:ascii="Times New Roman" w:hAnsi="Times New Roman"/>
          <w:bCs/>
          <w:color w:val="17365D" w:themeColor="text2" w:themeShade="BF"/>
          <w:spacing w:val="4"/>
          <w:sz w:val="28"/>
          <w:szCs w:val="28"/>
        </w:rPr>
        <w:t xml:space="preserve"> ngành thuộc cùng một nhóm ngành đào tạo từ trình độ đại học trở lên, trong đó, có tối thiểu </w:t>
      </w:r>
      <w:r w:rsidRPr="00FA7B2A">
        <w:rPr>
          <w:rFonts w:ascii="Times New Roman" w:hAnsi="Times New Roman"/>
          <w:b/>
          <w:bCs/>
          <w:color w:val="17365D" w:themeColor="text2" w:themeShade="BF"/>
          <w:spacing w:val="4"/>
          <w:sz w:val="28"/>
          <w:szCs w:val="28"/>
        </w:rPr>
        <w:t>03</w:t>
      </w:r>
      <w:r w:rsidRPr="00FA7B2A">
        <w:rPr>
          <w:rFonts w:ascii="Times New Roman" w:hAnsi="Times New Roman"/>
          <w:bCs/>
          <w:color w:val="17365D" w:themeColor="text2" w:themeShade="BF"/>
          <w:spacing w:val="4"/>
          <w:sz w:val="28"/>
          <w:szCs w:val="28"/>
        </w:rPr>
        <w:t xml:space="preserve"> ngành đang đào tạo đến trình độ tiến sỹ, đã cấp bằng tiến sĩ cho nghiên cứu sinh tốt nghiệp;</w:t>
      </w:r>
    </w:p>
    <w:p w:rsidR="00095DEC" w:rsidRPr="00FA7B2A" w:rsidRDefault="00095DEC" w:rsidP="00095DEC">
      <w:pPr>
        <w:pStyle w:val="ListParagraph"/>
        <w:numPr>
          <w:ilvl w:val="0"/>
          <w:numId w:val="2"/>
        </w:numPr>
        <w:tabs>
          <w:tab w:val="left" w:pos="142"/>
          <w:tab w:val="left" w:pos="851"/>
        </w:tabs>
        <w:spacing w:before="20" w:after="120"/>
        <w:ind w:left="0" w:firstLine="567"/>
        <w:jc w:val="both"/>
        <w:rPr>
          <w:rFonts w:ascii="Times New Roman" w:hAnsi="Times New Roman"/>
          <w:bCs/>
          <w:color w:val="17365D" w:themeColor="text2" w:themeShade="BF"/>
          <w:spacing w:val="4"/>
          <w:sz w:val="28"/>
          <w:szCs w:val="28"/>
        </w:rPr>
      </w:pPr>
      <w:r w:rsidRPr="00FA7B2A">
        <w:rPr>
          <w:rFonts w:ascii="Times New Roman" w:hAnsi="Times New Roman"/>
          <w:bCs/>
          <w:color w:val="17365D" w:themeColor="text2" w:themeShade="BF"/>
          <w:spacing w:val="4"/>
          <w:sz w:val="28"/>
          <w:szCs w:val="28"/>
        </w:rPr>
        <w:t xml:space="preserve">Có quy mô đào tạo từ </w:t>
      </w:r>
      <w:r w:rsidRPr="00FA7B2A">
        <w:rPr>
          <w:rFonts w:ascii="Times New Roman" w:hAnsi="Times New Roman"/>
          <w:b/>
          <w:bCs/>
          <w:color w:val="17365D" w:themeColor="text2" w:themeShade="BF"/>
          <w:spacing w:val="4"/>
          <w:sz w:val="28"/>
          <w:szCs w:val="28"/>
        </w:rPr>
        <w:t>3000</w:t>
      </w:r>
      <w:r w:rsidRPr="00FA7B2A">
        <w:rPr>
          <w:rFonts w:ascii="Times New Roman" w:hAnsi="Times New Roman"/>
          <w:bCs/>
          <w:color w:val="17365D" w:themeColor="text2" w:themeShade="BF"/>
          <w:spacing w:val="4"/>
          <w:sz w:val="28"/>
          <w:szCs w:val="28"/>
        </w:rPr>
        <w:t xml:space="preserve"> người học trở lên;</w:t>
      </w:r>
    </w:p>
    <w:p w:rsidR="00095DEC" w:rsidRPr="00FA7B2A" w:rsidRDefault="00095DEC" w:rsidP="00095DEC">
      <w:pPr>
        <w:pStyle w:val="ListParagraph"/>
        <w:numPr>
          <w:ilvl w:val="0"/>
          <w:numId w:val="2"/>
        </w:numPr>
        <w:tabs>
          <w:tab w:val="left" w:pos="142"/>
          <w:tab w:val="left" w:pos="851"/>
        </w:tabs>
        <w:spacing w:before="20" w:after="120"/>
        <w:ind w:left="0" w:firstLine="567"/>
        <w:jc w:val="both"/>
        <w:rPr>
          <w:rFonts w:ascii="Times New Roman" w:hAnsi="Times New Roman"/>
          <w:bCs/>
          <w:color w:val="17365D" w:themeColor="text2" w:themeShade="BF"/>
          <w:spacing w:val="4"/>
          <w:sz w:val="28"/>
          <w:szCs w:val="28"/>
        </w:rPr>
      </w:pPr>
      <w:r w:rsidRPr="00FA7B2A">
        <w:rPr>
          <w:rFonts w:ascii="Times New Roman" w:hAnsi="Times New Roman"/>
          <w:bCs/>
          <w:color w:val="17365D" w:themeColor="text2" w:themeShade="BF"/>
          <w:spacing w:val="4"/>
          <w:sz w:val="28"/>
          <w:szCs w:val="28"/>
        </w:rPr>
        <w:t>Có quy định về chức năng, nhiệm vụ, tổ chức bộ máy.</w:t>
      </w:r>
    </w:p>
    <w:p w:rsidR="00095DEC" w:rsidRPr="00FA7B2A" w:rsidRDefault="00095DEC" w:rsidP="00095DEC">
      <w:pPr>
        <w:pStyle w:val="ListParagraph"/>
        <w:numPr>
          <w:ilvl w:val="0"/>
          <w:numId w:val="3"/>
        </w:numPr>
        <w:tabs>
          <w:tab w:val="left" w:pos="142"/>
          <w:tab w:val="left" w:pos="709"/>
          <w:tab w:val="left" w:pos="851"/>
        </w:tabs>
        <w:spacing w:before="20" w:after="120"/>
        <w:ind w:left="0" w:firstLine="567"/>
        <w:jc w:val="both"/>
        <w:rPr>
          <w:rFonts w:ascii="Times New Roman" w:hAnsi="Times New Roman"/>
          <w:b/>
          <w:bCs/>
          <w:i/>
          <w:color w:val="17365D" w:themeColor="text2" w:themeShade="BF"/>
          <w:spacing w:val="4"/>
          <w:sz w:val="28"/>
          <w:szCs w:val="28"/>
        </w:rPr>
      </w:pPr>
      <w:r w:rsidRPr="00FA7B2A">
        <w:rPr>
          <w:rFonts w:ascii="Times New Roman" w:hAnsi="Times New Roman"/>
          <w:b/>
          <w:bCs/>
          <w:i/>
          <w:color w:val="17365D" w:themeColor="text2" w:themeShade="BF"/>
          <w:spacing w:val="4"/>
          <w:sz w:val="28"/>
          <w:szCs w:val="28"/>
        </w:rPr>
        <w:t>Dự thảo cũng quy định rõ hồ sơ và quy trình xử lý chuyển trường đại học thành đại học.</w:t>
      </w:r>
    </w:p>
    <w:p w:rsidR="00095DEC" w:rsidRPr="00FA7B2A" w:rsidRDefault="00095DEC" w:rsidP="00095DEC">
      <w:pPr>
        <w:tabs>
          <w:tab w:val="left" w:pos="142"/>
          <w:tab w:val="left" w:pos="851"/>
        </w:tabs>
        <w:spacing w:before="20" w:after="120"/>
        <w:ind w:firstLine="567"/>
        <w:jc w:val="both"/>
        <w:rPr>
          <w:bCs/>
          <w:color w:val="17365D" w:themeColor="text2" w:themeShade="BF"/>
          <w:spacing w:val="4"/>
          <w:sz w:val="28"/>
          <w:szCs w:val="28"/>
        </w:rPr>
      </w:pPr>
      <w:r w:rsidRPr="00FA7B2A">
        <w:rPr>
          <w:bCs/>
          <w:color w:val="17365D" w:themeColor="text2" w:themeShade="BF"/>
          <w:spacing w:val="4"/>
          <w:sz w:val="28"/>
          <w:szCs w:val="28"/>
        </w:rPr>
        <w:t>Như vậy, dự thảo nghị định đã giao việc thành lập trường con cho hội đồng trường và quy định rõ tiêu chuẩn, hồ sơ, quy trình xử lý để các cơ sở giáo dục đại học thực hiện.</w:t>
      </w:r>
    </w:p>
    <w:p w:rsidR="00095DEC" w:rsidRPr="00FA7B2A" w:rsidRDefault="00095DEC" w:rsidP="00095DEC">
      <w:pPr>
        <w:pStyle w:val="ListParagraph"/>
        <w:numPr>
          <w:ilvl w:val="0"/>
          <w:numId w:val="1"/>
        </w:numPr>
        <w:tabs>
          <w:tab w:val="left" w:pos="142"/>
          <w:tab w:val="left" w:pos="851"/>
        </w:tabs>
        <w:spacing w:before="20" w:after="120"/>
        <w:ind w:left="0" w:firstLine="567"/>
        <w:jc w:val="both"/>
        <w:rPr>
          <w:rFonts w:ascii="Times New Roman" w:hAnsi="Times New Roman"/>
          <w:b/>
          <w:bCs/>
          <w:color w:val="17365D" w:themeColor="text2" w:themeShade="BF"/>
          <w:spacing w:val="4"/>
          <w:sz w:val="28"/>
          <w:szCs w:val="28"/>
        </w:rPr>
      </w:pPr>
      <w:r w:rsidRPr="00FA7B2A">
        <w:rPr>
          <w:rFonts w:ascii="Times New Roman" w:hAnsi="Times New Roman"/>
          <w:b/>
          <w:bCs/>
          <w:color w:val="17365D" w:themeColor="text2" w:themeShade="BF"/>
          <w:spacing w:val="4"/>
          <w:sz w:val="28"/>
          <w:szCs w:val="28"/>
        </w:rPr>
        <w:t>Về liên kết các trường đại học thành đại học</w:t>
      </w:r>
    </w:p>
    <w:p w:rsidR="00095DEC" w:rsidRPr="00FA7B2A" w:rsidRDefault="00095DEC" w:rsidP="00095DEC">
      <w:pPr>
        <w:tabs>
          <w:tab w:val="left" w:pos="142"/>
          <w:tab w:val="left" w:pos="851"/>
        </w:tabs>
        <w:spacing w:before="20" w:after="120"/>
        <w:ind w:firstLine="567"/>
        <w:jc w:val="both"/>
        <w:rPr>
          <w:bCs/>
          <w:i/>
          <w:color w:val="17365D" w:themeColor="text2" w:themeShade="BF"/>
          <w:spacing w:val="4"/>
          <w:sz w:val="28"/>
          <w:szCs w:val="28"/>
        </w:rPr>
      </w:pPr>
      <w:r w:rsidRPr="00FA7B2A">
        <w:rPr>
          <w:bCs/>
          <w:i/>
          <w:color w:val="17365D" w:themeColor="text2" w:themeShade="BF"/>
          <w:spacing w:val="4"/>
          <w:sz w:val="28"/>
          <w:szCs w:val="28"/>
        </w:rPr>
        <w:t>(quy định tại Khoản 5 Điều 7 của Luật)</w:t>
      </w:r>
    </w:p>
    <w:p w:rsidR="00095DEC" w:rsidRPr="00FA7B2A" w:rsidRDefault="00095DEC" w:rsidP="00095DEC">
      <w:pPr>
        <w:tabs>
          <w:tab w:val="left" w:pos="142"/>
          <w:tab w:val="left" w:pos="851"/>
        </w:tabs>
        <w:spacing w:before="20" w:after="120"/>
        <w:ind w:firstLine="567"/>
        <w:jc w:val="both"/>
        <w:rPr>
          <w:bCs/>
          <w:color w:val="17365D" w:themeColor="text2" w:themeShade="BF"/>
          <w:spacing w:val="4"/>
          <w:sz w:val="28"/>
          <w:szCs w:val="28"/>
        </w:rPr>
      </w:pPr>
      <w:r w:rsidRPr="00FA7B2A">
        <w:rPr>
          <w:bCs/>
          <w:color w:val="17365D" w:themeColor="text2" w:themeShade="BF"/>
          <w:spacing w:val="4"/>
          <w:sz w:val="28"/>
          <w:szCs w:val="28"/>
        </w:rPr>
        <w:t>Dự thảo nghị định (Điều 5) quy định:</w:t>
      </w:r>
    </w:p>
    <w:p w:rsidR="00095DEC" w:rsidRPr="00FA7B2A" w:rsidRDefault="00095DEC" w:rsidP="00095DEC">
      <w:pPr>
        <w:tabs>
          <w:tab w:val="left" w:pos="142"/>
          <w:tab w:val="left" w:pos="851"/>
        </w:tabs>
        <w:spacing w:before="20" w:after="120"/>
        <w:ind w:firstLine="567"/>
        <w:jc w:val="both"/>
        <w:rPr>
          <w:b/>
          <w:bCs/>
          <w:i/>
          <w:color w:val="17365D" w:themeColor="text2" w:themeShade="BF"/>
          <w:spacing w:val="4"/>
          <w:sz w:val="28"/>
          <w:szCs w:val="28"/>
        </w:rPr>
      </w:pPr>
      <w:r w:rsidRPr="00FA7B2A">
        <w:rPr>
          <w:b/>
          <w:bCs/>
          <w:i/>
          <w:color w:val="17365D" w:themeColor="text2" w:themeShade="BF"/>
          <w:spacing w:val="4"/>
          <w:sz w:val="28"/>
          <w:szCs w:val="28"/>
        </w:rPr>
        <w:t>a) Điều kiện để các trường đại học liên kết thành đại học:</w:t>
      </w:r>
    </w:p>
    <w:p w:rsidR="00095DEC" w:rsidRPr="00FA7B2A" w:rsidRDefault="00095DEC" w:rsidP="00095DEC">
      <w:pPr>
        <w:pStyle w:val="ListParagraph"/>
        <w:numPr>
          <w:ilvl w:val="0"/>
          <w:numId w:val="2"/>
        </w:numPr>
        <w:tabs>
          <w:tab w:val="left" w:pos="142"/>
          <w:tab w:val="left" w:pos="851"/>
        </w:tabs>
        <w:spacing w:before="20" w:after="120"/>
        <w:ind w:left="0" w:firstLine="567"/>
        <w:jc w:val="both"/>
        <w:rPr>
          <w:rFonts w:ascii="Times New Roman" w:hAnsi="Times New Roman"/>
          <w:bCs/>
          <w:color w:val="17365D" w:themeColor="text2" w:themeShade="BF"/>
          <w:spacing w:val="4"/>
          <w:sz w:val="28"/>
          <w:szCs w:val="28"/>
        </w:rPr>
      </w:pPr>
      <w:r w:rsidRPr="00FA7B2A">
        <w:rPr>
          <w:rFonts w:ascii="Times New Roman" w:hAnsi="Times New Roman"/>
          <w:bCs/>
          <w:color w:val="17365D" w:themeColor="text2" w:themeShade="BF"/>
          <w:spacing w:val="4"/>
          <w:sz w:val="28"/>
          <w:szCs w:val="28"/>
        </w:rPr>
        <w:lastRenderedPageBreak/>
        <w:t xml:space="preserve">Có ít nhất </w:t>
      </w:r>
      <w:r w:rsidRPr="00FA7B2A">
        <w:rPr>
          <w:rFonts w:ascii="Times New Roman" w:hAnsi="Times New Roman"/>
          <w:b/>
          <w:bCs/>
          <w:color w:val="17365D" w:themeColor="text2" w:themeShade="BF"/>
          <w:spacing w:val="4"/>
          <w:sz w:val="28"/>
          <w:szCs w:val="28"/>
        </w:rPr>
        <w:t>03</w:t>
      </w:r>
      <w:r w:rsidRPr="00FA7B2A">
        <w:rPr>
          <w:rFonts w:ascii="Times New Roman" w:hAnsi="Times New Roman"/>
          <w:bCs/>
          <w:color w:val="17365D" w:themeColor="text2" w:themeShade="BF"/>
          <w:spacing w:val="4"/>
          <w:sz w:val="28"/>
          <w:szCs w:val="28"/>
        </w:rPr>
        <w:t xml:space="preserve"> trường đại học đã đạt tiêu chuẩn kiểm định chất lượng giáo dục đại học tham gia liên kết;</w:t>
      </w:r>
    </w:p>
    <w:p w:rsidR="00095DEC" w:rsidRPr="00FA7B2A" w:rsidRDefault="00095DEC" w:rsidP="00095DEC">
      <w:pPr>
        <w:pStyle w:val="ListParagraph"/>
        <w:numPr>
          <w:ilvl w:val="0"/>
          <w:numId w:val="2"/>
        </w:numPr>
        <w:tabs>
          <w:tab w:val="left" w:pos="142"/>
          <w:tab w:val="left" w:pos="851"/>
        </w:tabs>
        <w:spacing w:before="20" w:after="120"/>
        <w:ind w:left="0" w:firstLine="567"/>
        <w:jc w:val="both"/>
        <w:rPr>
          <w:rFonts w:ascii="Times New Roman" w:hAnsi="Times New Roman"/>
          <w:bCs/>
          <w:color w:val="17365D" w:themeColor="text2" w:themeShade="BF"/>
          <w:spacing w:val="4"/>
          <w:sz w:val="28"/>
          <w:szCs w:val="28"/>
        </w:rPr>
      </w:pPr>
      <w:r w:rsidRPr="00FA7B2A">
        <w:rPr>
          <w:rFonts w:ascii="Times New Roman" w:hAnsi="Times New Roman"/>
          <w:bCs/>
          <w:color w:val="17365D" w:themeColor="text2" w:themeShade="BF"/>
          <w:spacing w:val="4"/>
          <w:sz w:val="28"/>
          <w:szCs w:val="28"/>
        </w:rPr>
        <w:t>Có nghị quyết của hội đồng trường các trường đại học tham gia liên kết thành đại học;</w:t>
      </w:r>
    </w:p>
    <w:p w:rsidR="00095DEC" w:rsidRPr="00FA7B2A" w:rsidRDefault="00095DEC" w:rsidP="00095DEC">
      <w:pPr>
        <w:pStyle w:val="ListParagraph"/>
        <w:numPr>
          <w:ilvl w:val="0"/>
          <w:numId w:val="2"/>
        </w:numPr>
        <w:tabs>
          <w:tab w:val="left" w:pos="142"/>
          <w:tab w:val="left" w:pos="851"/>
        </w:tabs>
        <w:spacing w:before="20" w:after="120"/>
        <w:ind w:left="0" w:firstLine="567"/>
        <w:jc w:val="both"/>
        <w:rPr>
          <w:rFonts w:ascii="Times New Roman" w:hAnsi="Times New Roman"/>
          <w:bCs/>
          <w:color w:val="17365D" w:themeColor="text2" w:themeShade="BF"/>
          <w:spacing w:val="4"/>
          <w:sz w:val="28"/>
          <w:szCs w:val="28"/>
        </w:rPr>
      </w:pPr>
      <w:r w:rsidRPr="00FA7B2A">
        <w:rPr>
          <w:rFonts w:ascii="Times New Roman" w:hAnsi="Times New Roman"/>
          <w:bCs/>
          <w:color w:val="17365D" w:themeColor="text2" w:themeShade="BF"/>
          <w:spacing w:val="4"/>
          <w:sz w:val="28"/>
          <w:szCs w:val="28"/>
        </w:rPr>
        <w:t>Có quy chế tổ chức và hoạt động;</w:t>
      </w:r>
    </w:p>
    <w:p w:rsidR="00095DEC" w:rsidRPr="00FA7B2A" w:rsidRDefault="00095DEC" w:rsidP="00095DEC">
      <w:pPr>
        <w:pStyle w:val="ListParagraph"/>
        <w:numPr>
          <w:ilvl w:val="0"/>
          <w:numId w:val="2"/>
        </w:numPr>
        <w:tabs>
          <w:tab w:val="left" w:pos="142"/>
          <w:tab w:val="left" w:pos="851"/>
        </w:tabs>
        <w:spacing w:before="20" w:after="120"/>
        <w:ind w:left="0" w:firstLine="567"/>
        <w:jc w:val="both"/>
        <w:rPr>
          <w:rFonts w:ascii="Times New Roman" w:hAnsi="Times New Roman"/>
          <w:bCs/>
          <w:color w:val="17365D" w:themeColor="text2" w:themeShade="BF"/>
          <w:spacing w:val="4"/>
          <w:sz w:val="28"/>
          <w:szCs w:val="28"/>
        </w:rPr>
      </w:pPr>
      <w:r w:rsidRPr="00FA7B2A">
        <w:rPr>
          <w:rFonts w:ascii="Times New Roman" w:hAnsi="Times New Roman"/>
          <w:bCs/>
          <w:color w:val="17365D" w:themeColor="text2" w:themeShade="BF"/>
          <w:spacing w:val="4"/>
          <w:sz w:val="28"/>
          <w:szCs w:val="28"/>
        </w:rPr>
        <w:t xml:space="preserve">Có ý kiến chấp thuận của cơ quan trực tiếp quản lý các trường đại học công lập hoặc có sự đồng thuận của các nhà đầu tư đại diện ít nhất </w:t>
      </w:r>
      <w:r w:rsidRPr="00FA7B2A">
        <w:rPr>
          <w:rFonts w:ascii="Times New Roman" w:hAnsi="Times New Roman"/>
          <w:b/>
          <w:bCs/>
          <w:color w:val="17365D" w:themeColor="text2" w:themeShade="BF"/>
          <w:spacing w:val="4"/>
          <w:sz w:val="28"/>
          <w:szCs w:val="28"/>
        </w:rPr>
        <w:t>75%</w:t>
      </w:r>
      <w:r w:rsidRPr="00FA7B2A">
        <w:rPr>
          <w:rFonts w:ascii="Times New Roman" w:hAnsi="Times New Roman"/>
          <w:bCs/>
          <w:color w:val="17365D" w:themeColor="text2" w:themeShade="BF"/>
          <w:spacing w:val="4"/>
          <w:sz w:val="28"/>
          <w:szCs w:val="28"/>
        </w:rPr>
        <w:t xml:space="preserve"> tổng số vốn góp tại mỗi trường đại học tư thục;</w:t>
      </w:r>
    </w:p>
    <w:p w:rsidR="00095DEC" w:rsidRPr="00FA7B2A" w:rsidRDefault="00095DEC" w:rsidP="00095DEC">
      <w:pPr>
        <w:pStyle w:val="ListParagraph"/>
        <w:numPr>
          <w:ilvl w:val="0"/>
          <w:numId w:val="2"/>
        </w:numPr>
        <w:tabs>
          <w:tab w:val="left" w:pos="142"/>
          <w:tab w:val="left" w:pos="851"/>
        </w:tabs>
        <w:spacing w:before="20" w:after="120"/>
        <w:ind w:left="0" w:firstLine="567"/>
        <w:jc w:val="both"/>
        <w:rPr>
          <w:rFonts w:ascii="Times New Roman" w:hAnsi="Times New Roman"/>
          <w:bCs/>
          <w:color w:val="17365D" w:themeColor="text2" w:themeShade="BF"/>
          <w:spacing w:val="4"/>
          <w:sz w:val="28"/>
          <w:szCs w:val="28"/>
        </w:rPr>
      </w:pPr>
      <w:r w:rsidRPr="00FA7B2A">
        <w:rPr>
          <w:rFonts w:ascii="Times New Roman" w:hAnsi="Times New Roman"/>
          <w:bCs/>
          <w:color w:val="17365D" w:themeColor="text2" w:themeShade="BF"/>
          <w:spacing w:val="4"/>
          <w:sz w:val="28"/>
          <w:szCs w:val="28"/>
        </w:rPr>
        <w:t>Có ý kiến đồng ý của UBND cấp tỉnh nơi đặt trụ sở chính của các cơ sở giáo dục đại học.</w:t>
      </w:r>
    </w:p>
    <w:p w:rsidR="00095DEC" w:rsidRPr="00FA7B2A" w:rsidRDefault="00095DEC" w:rsidP="00095DEC">
      <w:pPr>
        <w:tabs>
          <w:tab w:val="left" w:pos="142"/>
          <w:tab w:val="left" w:pos="851"/>
        </w:tabs>
        <w:spacing w:before="20" w:after="120"/>
        <w:ind w:firstLine="567"/>
        <w:jc w:val="both"/>
        <w:rPr>
          <w:b/>
          <w:bCs/>
          <w:i/>
          <w:color w:val="17365D" w:themeColor="text2" w:themeShade="BF"/>
          <w:spacing w:val="4"/>
          <w:sz w:val="28"/>
          <w:szCs w:val="28"/>
        </w:rPr>
      </w:pPr>
      <w:r w:rsidRPr="00FA7B2A">
        <w:rPr>
          <w:b/>
          <w:bCs/>
          <w:i/>
          <w:color w:val="17365D" w:themeColor="text2" w:themeShade="BF"/>
          <w:spacing w:val="4"/>
          <w:sz w:val="28"/>
          <w:szCs w:val="28"/>
        </w:rPr>
        <w:t>b) Dự thảo cũng quy định rõ về hồ sơ và quy trình xử lý.</w:t>
      </w:r>
    </w:p>
    <w:p w:rsidR="00095DEC" w:rsidRPr="00FA7B2A" w:rsidRDefault="00095DEC" w:rsidP="00095DEC">
      <w:pPr>
        <w:tabs>
          <w:tab w:val="left" w:pos="142"/>
          <w:tab w:val="left" w:pos="851"/>
        </w:tabs>
        <w:spacing w:before="20" w:after="120"/>
        <w:ind w:firstLine="567"/>
        <w:jc w:val="both"/>
        <w:rPr>
          <w:bCs/>
          <w:color w:val="17365D" w:themeColor="text2" w:themeShade="BF"/>
          <w:spacing w:val="4"/>
          <w:sz w:val="28"/>
          <w:szCs w:val="28"/>
        </w:rPr>
      </w:pPr>
      <w:r w:rsidRPr="00FA7B2A">
        <w:rPr>
          <w:bCs/>
          <w:color w:val="17365D" w:themeColor="text2" w:themeShade="BF"/>
          <w:spacing w:val="4"/>
          <w:sz w:val="28"/>
          <w:szCs w:val="28"/>
        </w:rPr>
        <w:t>Như vậy, ngoài hình thức tự mình phát triển và chuyển thành đại học, các trường đại học có thể chọn phương án liên kết để trở thành đại học. Đây là một lựa chọn tốt để tăng tính cạnh tranh cho các trường nhỏ.</w:t>
      </w:r>
    </w:p>
    <w:p w:rsidR="00095DEC" w:rsidRPr="00FA7B2A" w:rsidRDefault="00095DEC" w:rsidP="00095DEC">
      <w:pPr>
        <w:pStyle w:val="ListParagraph"/>
        <w:numPr>
          <w:ilvl w:val="0"/>
          <w:numId w:val="1"/>
        </w:numPr>
        <w:tabs>
          <w:tab w:val="left" w:pos="142"/>
          <w:tab w:val="left" w:pos="851"/>
        </w:tabs>
        <w:spacing w:before="20" w:after="120"/>
        <w:ind w:left="0" w:firstLine="567"/>
        <w:jc w:val="both"/>
        <w:rPr>
          <w:rFonts w:ascii="Times New Roman" w:hAnsi="Times New Roman"/>
          <w:b/>
          <w:bCs/>
          <w:color w:val="17365D" w:themeColor="text2" w:themeShade="BF"/>
          <w:spacing w:val="4"/>
          <w:sz w:val="28"/>
          <w:szCs w:val="28"/>
        </w:rPr>
      </w:pPr>
      <w:r w:rsidRPr="00FA7B2A">
        <w:rPr>
          <w:rFonts w:ascii="Times New Roman" w:hAnsi="Times New Roman"/>
          <w:b/>
          <w:bCs/>
          <w:color w:val="17365D" w:themeColor="text2" w:themeShade="BF"/>
          <w:spacing w:val="4"/>
          <w:sz w:val="28"/>
          <w:szCs w:val="28"/>
        </w:rPr>
        <w:t>Về hội đồng trường</w:t>
      </w:r>
    </w:p>
    <w:p w:rsidR="00095DEC" w:rsidRPr="00FA7B2A" w:rsidRDefault="00095DEC" w:rsidP="00095DEC">
      <w:pPr>
        <w:tabs>
          <w:tab w:val="left" w:pos="142"/>
          <w:tab w:val="left" w:pos="851"/>
        </w:tabs>
        <w:spacing w:before="20" w:after="120"/>
        <w:ind w:firstLine="567"/>
        <w:jc w:val="both"/>
        <w:rPr>
          <w:b/>
          <w:bCs/>
          <w:color w:val="17365D" w:themeColor="text2" w:themeShade="BF"/>
          <w:spacing w:val="4"/>
          <w:sz w:val="28"/>
          <w:szCs w:val="28"/>
        </w:rPr>
      </w:pPr>
      <w:r w:rsidRPr="00FA7B2A">
        <w:rPr>
          <w:bCs/>
          <w:i/>
          <w:color w:val="17365D" w:themeColor="text2" w:themeShade="BF"/>
          <w:spacing w:val="4"/>
          <w:sz w:val="28"/>
          <w:szCs w:val="28"/>
        </w:rPr>
        <w:t>(quy định tại Khoản 8 Điều 16 và Khoản 6 Điều 17 của Luật)</w:t>
      </w:r>
    </w:p>
    <w:p w:rsidR="00095DEC" w:rsidRPr="00FA7B2A" w:rsidRDefault="00095DEC" w:rsidP="00095DEC">
      <w:pPr>
        <w:tabs>
          <w:tab w:val="left" w:pos="142"/>
          <w:tab w:val="left" w:pos="851"/>
        </w:tabs>
        <w:spacing w:before="20" w:after="120"/>
        <w:ind w:firstLine="567"/>
        <w:jc w:val="both"/>
        <w:rPr>
          <w:bCs/>
          <w:color w:val="17365D" w:themeColor="text2" w:themeShade="BF"/>
          <w:spacing w:val="4"/>
          <w:sz w:val="28"/>
          <w:szCs w:val="28"/>
        </w:rPr>
      </w:pPr>
      <w:r w:rsidRPr="00FA7B2A">
        <w:rPr>
          <w:bCs/>
          <w:color w:val="17365D" w:themeColor="text2" w:themeShade="BF"/>
          <w:spacing w:val="4"/>
          <w:sz w:val="28"/>
          <w:szCs w:val="28"/>
        </w:rPr>
        <w:t>Dự thảo nghị định (Điều 6 và 7) quy định rõ về thủ tục, hồ sơ công nhận hội đồng trường và việc miễn nhiệm, bãi nhiệm chủ tịch, thành viên của hội đồng trường đối với trường công lập và tư thục.</w:t>
      </w:r>
    </w:p>
    <w:p w:rsidR="00095DEC" w:rsidRPr="00FA7B2A" w:rsidRDefault="00095DEC" w:rsidP="00095DEC">
      <w:pPr>
        <w:tabs>
          <w:tab w:val="left" w:pos="142"/>
          <w:tab w:val="left" w:pos="851"/>
        </w:tabs>
        <w:spacing w:before="20" w:after="120"/>
        <w:ind w:firstLine="567"/>
        <w:jc w:val="both"/>
        <w:rPr>
          <w:bCs/>
          <w:color w:val="17365D" w:themeColor="text2" w:themeShade="BF"/>
          <w:spacing w:val="4"/>
          <w:sz w:val="28"/>
          <w:szCs w:val="28"/>
        </w:rPr>
      </w:pPr>
      <w:r w:rsidRPr="00FA7B2A">
        <w:rPr>
          <w:bCs/>
          <w:color w:val="17365D" w:themeColor="text2" w:themeShade="BF"/>
          <w:spacing w:val="4"/>
          <w:sz w:val="28"/>
          <w:szCs w:val="28"/>
        </w:rPr>
        <w:t>Như vậy, dự thảo đã đưa ra quy định chi tiết để các trường có căn cứ triển khai theo tình hình cụ thể của mỗi trường.</w:t>
      </w:r>
    </w:p>
    <w:p w:rsidR="00095DEC" w:rsidRPr="00FA7B2A" w:rsidRDefault="00095DEC" w:rsidP="00095DEC">
      <w:pPr>
        <w:pStyle w:val="ListParagraph"/>
        <w:numPr>
          <w:ilvl w:val="0"/>
          <w:numId w:val="1"/>
        </w:numPr>
        <w:tabs>
          <w:tab w:val="left" w:pos="142"/>
          <w:tab w:val="left" w:pos="851"/>
        </w:tabs>
        <w:spacing w:before="20" w:after="120"/>
        <w:ind w:left="0" w:firstLine="567"/>
        <w:jc w:val="both"/>
        <w:rPr>
          <w:rFonts w:ascii="Times New Roman" w:hAnsi="Times New Roman"/>
          <w:b/>
          <w:bCs/>
          <w:color w:val="17365D" w:themeColor="text2" w:themeShade="BF"/>
          <w:spacing w:val="4"/>
          <w:sz w:val="28"/>
          <w:szCs w:val="28"/>
        </w:rPr>
      </w:pPr>
      <w:r w:rsidRPr="00FA7B2A">
        <w:rPr>
          <w:rFonts w:ascii="Times New Roman" w:hAnsi="Times New Roman"/>
          <w:b/>
          <w:bCs/>
          <w:color w:val="17365D" w:themeColor="text2" w:themeShade="BF"/>
          <w:spacing w:val="4"/>
          <w:sz w:val="28"/>
          <w:szCs w:val="28"/>
        </w:rPr>
        <w:t>Về việc chuyển đổi cơ sở giáo dục đại học tư thục sang cơ sở giáo dục đại học tư thục hoạt động không vì lợi nhuận</w:t>
      </w:r>
    </w:p>
    <w:p w:rsidR="00095DEC" w:rsidRPr="00FA7B2A" w:rsidRDefault="00095DEC" w:rsidP="00095DEC">
      <w:pPr>
        <w:tabs>
          <w:tab w:val="left" w:pos="142"/>
          <w:tab w:val="left" w:pos="851"/>
        </w:tabs>
        <w:spacing w:before="20" w:after="120"/>
        <w:ind w:firstLine="567"/>
        <w:jc w:val="both"/>
        <w:rPr>
          <w:b/>
          <w:bCs/>
          <w:color w:val="17365D" w:themeColor="text2" w:themeShade="BF"/>
          <w:spacing w:val="4"/>
          <w:sz w:val="28"/>
          <w:szCs w:val="28"/>
        </w:rPr>
      </w:pPr>
      <w:r w:rsidRPr="00FA7B2A">
        <w:rPr>
          <w:bCs/>
          <w:i/>
          <w:color w:val="17365D" w:themeColor="text2" w:themeShade="BF"/>
          <w:spacing w:val="4"/>
          <w:sz w:val="28"/>
          <w:szCs w:val="28"/>
        </w:rPr>
        <w:t>(quy định tại Khoản 5 Điều 7 của Luật)</w:t>
      </w:r>
    </w:p>
    <w:p w:rsidR="00095DEC" w:rsidRPr="00FA7B2A" w:rsidRDefault="00095DEC" w:rsidP="00095DEC">
      <w:pPr>
        <w:tabs>
          <w:tab w:val="left" w:pos="142"/>
          <w:tab w:val="left" w:pos="851"/>
        </w:tabs>
        <w:spacing w:before="20" w:after="120"/>
        <w:ind w:firstLine="567"/>
        <w:jc w:val="both"/>
        <w:rPr>
          <w:bCs/>
          <w:color w:val="17365D" w:themeColor="text2" w:themeShade="BF"/>
          <w:spacing w:val="4"/>
          <w:sz w:val="28"/>
          <w:szCs w:val="28"/>
        </w:rPr>
      </w:pPr>
      <w:r w:rsidRPr="00FA7B2A">
        <w:rPr>
          <w:bCs/>
          <w:color w:val="17365D" w:themeColor="text2" w:themeShade="BF"/>
          <w:spacing w:val="4"/>
          <w:sz w:val="28"/>
          <w:szCs w:val="28"/>
        </w:rPr>
        <w:t>Dự thảo nghị định (Điều 3) quy định rõ hồ sơ và quy trình xử lý việc chuyển đổi, không quy định về điều kiện. Như vậy, việc không quy định điều kiện chuyển đổi cho thấy chính sách khuyến khích, không hạn chế việc chuyển đổi này.</w:t>
      </w:r>
    </w:p>
    <w:p w:rsidR="00095DEC" w:rsidRPr="00FA7B2A" w:rsidRDefault="00095DEC" w:rsidP="00095DEC">
      <w:pPr>
        <w:pStyle w:val="ListParagraph"/>
        <w:numPr>
          <w:ilvl w:val="0"/>
          <w:numId w:val="1"/>
        </w:numPr>
        <w:tabs>
          <w:tab w:val="left" w:pos="142"/>
          <w:tab w:val="left" w:pos="851"/>
        </w:tabs>
        <w:spacing w:before="20" w:after="120"/>
        <w:ind w:left="0" w:firstLine="567"/>
        <w:jc w:val="both"/>
        <w:rPr>
          <w:rFonts w:ascii="Times New Roman" w:hAnsi="Times New Roman"/>
          <w:b/>
          <w:bCs/>
          <w:color w:val="17365D" w:themeColor="text2" w:themeShade="BF"/>
          <w:spacing w:val="4"/>
          <w:sz w:val="28"/>
          <w:szCs w:val="28"/>
        </w:rPr>
      </w:pPr>
      <w:r w:rsidRPr="00FA7B2A">
        <w:rPr>
          <w:rFonts w:ascii="Times New Roman" w:hAnsi="Times New Roman"/>
          <w:b/>
          <w:bCs/>
          <w:color w:val="17365D" w:themeColor="text2" w:themeShade="BF"/>
          <w:spacing w:val="4"/>
          <w:sz w:val="28"/>
          <w:szCs w:val="28"/>
        </w:rPr>
        <w:t>Về nguyên tắc đặt tên, đổi tên cơ sở giáo dục đại học</w:t>
      </w:r>
    </w:p>
    <w:p w:rsidR="00095DEC" w:rsidRPr="00FA7B2A" w:rsidRDefault="00095DEC" w:rsidP="00095DEC">
      <w:pPr>
        <w:tabs>
          <w:tab w:val="left" w:pos="142"/>
          <w:tab w:val="left" w:pos="851"/>
        </w:tabs>
        <w:spacing w:before="20" w:after="120"/>
        <w:ind w:firstLine="567"/>
        <w:jc w:val="both"/>
        <w:rPr>
          <w:b/>
          <w:bCs/>
          <w:color w:val="17365D" w:themeColor="text2" w:themeShade="BF"/>
          <w:spacing w:val="4"/>
          <w:sz w:val="28"/>
          <w:szCs w:val="28"/>
        </w:rPr>
      </w:pPr>
      <w:r w:rsidRPr="00FA7B2A">
        <w:rPr>
          <w:bCs/>
          <w:i/>
          <w:color w:val="17365D" w:themeColor="text2" w:themeShade="BF"/>
          <w:spacing w:val="4"/>
          <w:sz w:val="28"/>
          <w:szCs w:val="28"/>
        </w:rPr>
        <w:t>(quy định tại Khoản 5 Điều 7 của Luật)</w:t>
      </w:r>
    </w:p>
    <w:p w:rsidR="00095DEC" w:rsidRPr="00FA7B2A" w:rsidRDefault="00095DEC" w:rsidP="00095DEC">
      <w:pPr>
        <w:tabs>
          <w:tab w:val="left" w:pos="142"/>
          <w:tab w:val="left" w:pos="851"/>
        </w:tabs>
        <w:spacing w:before="20" w:after="120"/>
        <w:ind w:firstLine="567"/>
        <w:jc w:val="both"/>
        <w:rPr>
          <w:bCs/>
          <w:color w:val="17365D" w:themeColor="text2" w:themeShade="BF"/>
          <w:spacing w:val="4"/>
          <w:sz w:val="28"/>
          <w:szCs w:val="28"/>
        </w:rPr>
      </w:pPr>
      <w:r w:rsidRPr="00FA7B2A">
        <w:rPr>
          <w:bCs/>
          <w:color w:val="17365D" w:themeColor="text2" w:themeShade="BF"/>
          <w:spacing w:val="4"/>
          <w:sz w:val="28"/>
          <w:szCs w:val="28"/>
        </w:rPr>
        <w:t>Dự thảo nghị định (Điều 2) quy định:</w:t>
      </w:r>
    </w:p>
    <w:p w:rsidR="00095DEC" w:rsidRPr="00FA7B2A" w:rsidRDefault="00095DEC" w:rsidP="00095DEC">
      <w:pPr>
        <w:tabs>
          <w:tab w:val="left" w:pos="142"/>
          <w:tab w:val="left" w:pos="851"/>
        </w:tabs>
        <w:spacing w:before="20" w:after="120"/>
        <w:ind w:firstLine="567"/>
        <w:jc w:val="both"/>
        <w:rPr>
          <w:bCs/>
          <w:color w:val="17365D" w:themeColor="text2" w:themeShade="BF"/>
          <w:spacing w:val="4"/>
          <w:sz w:val="28"/>
          <w:szCs w:val="28"/>
        </w:rPr>
      </w:pPr>
      <w:r w:rsidRPr="00FA7B2A">
        <w:rPr>
          <w:bCs/>
          <w:color w:val="17365D" w:themeColor="text2" w:themeShade="BF"/>
          <w:spacing w:val="4"/>
          <w:sz w:val="28"/>
          <w:szCs w:val="28"/>
        </w:rPr>
        <w:t>Tên của cơ sở giáo dục đại học bao gồm:</w:t>
      </w:r>
    </w:p>
    <w:p w:rsidR="00095DEC" w:rsidRPr="00FA7B2A" w:rsidRDefault="00095DEC" w:rsidP="00095DEC">
      <w:pPr>
        <w:pStyle w:val="ListParagraph"/>
        <w:numPr>
          <w:ilvl w:val="0"/>
          <w:numId w:val="2"/>
        </w:numPr>
        <w:tabs>
          <w:tab w:val="left" w:pos="142"/>
          <w:tab w:val="left" w:pos="851"/>
        </w:tabs>
        <w:spacing w:before="20" w:after="120"/>
        <w:ind w:left="0" w:firstLine="567"/>
        <w:jc w:val="both"/>
        <w:rPr>
          <w:rFonts w:ascii="Times New Roman" w:hAnsi="Times New Roman"/>
          <w:bCs/>
          <w:color w:val="17365D" w:themeColor="text2" w:themeShade="BF"/>
          <w:spacing w:val="4"/>
          <w:sz w:val="28"/>
          <w:szCs w:val="28"/>
        </w:rPr>
      </w:pPr>
      <w:r w:rsidRPr="00FA7B2A">
        <w:rPr>
          <w:rFonts w:ascii="Times New Roman" w:hAnsi="Times New Roman"/>
          <w:bCs/>
          <w:color w:val="17365D" w:themeColor="text2" w:themeShade="BF"/>
          <w:spacing w:val="4"/>
          <w:sz w:val="28"/>
          <w:szCs w:val="28"/>
        </w:rPr>
        <w:t>Cụm từ xác định loại cơ sở giáo dục đại học: đại học, trường đại học, học viện;</w:t>
      </w:r>
    </w:p>
    <w:p w:rsidR="00095DEC" w:rsidRPr="00FA7B2A" w:rsidRDefault="00095DEC" w:rsidP="00095DEC">
      <w:pPr>
        <w:pStyle w:val="ListParagraph"/>
        <w:numPr>
          <w:ilvl w:val="0"/>
          <w:numId w:val="2"/>
        </w:numPr>
        <w:tabs>
          <w:tab w:val="left" w:pos="142"/>
          <w:tab w:val="left" w:pos="851"/>
        </w:tabs>
        <w:spacing w:before="20" w:after="120"/>
        <w:ind w:left="0" w:firstLine="567"/>
        <w:jc w:val="both"/>
        <w:rPr>
          <w:rFonts w:ascii="Times New Roman" w:hAnsi="Times New Roman"/>
          <w:bCs/>
          <w:color w:val="17365D" w:themeColor="text2" w:themeShade="BF"/>
          <w:spacing w:val="4"/>
          <w:sz w:val="28"/>
          <w:szCs w:val="28"/>
        </w:rPr>
      </w:pPr>
      <w:r w:rsidRPr="00FA7B2A">
        <w:rPr>
          <w:rFonts w:ascii="Times New Roman" w:hAnsi="Times New Roman"/>
          <w:bCs/>
          <w:color w:val="17365D" w:themeColor="text2" w:themeShade="BF"/>
          <w:spacing w:val="4"/>
          <w:sz w:val="28"/>
          <w:szCs w:val="28"/>
        </w:rPr>
        <w:t>Cụm từ xác định lĩnh vực, ngành nghề đào tạo, nếu cần;</w:t>
      </w:r>
    </w:p>
    <w:p w:rsidR="00095DEC" w:rsidRPr="00FA7B2A" w:rsidRDefault="00095DEC" w:rsidP="00095DEC">
      <w:pPr>
        <w:pStyle w:val="ListParagraph"/>
        <w:numPr>
          <w:ilvl w:val="0"/>
          <w:numId w:val="2"/>
        </w:numPr>
        <w:tabs>
          <w:tab w:val="left" w:pos="142"/>
          <w:tab w:val="left" w:pos="851"/>
        </w:tabs>
        <w:spacing w:before="20" w:after="120"/>
        <w:ind w:left="0" w:firstLine="567"/>
        <w:jc w:val="both"/>
        <w:rPr>
          <w:rFonts w:ascii="Times New Roman" w:hAnsi="Times New Roman"/>
          <w:bCs/>
          <w:color w:val="17365D" w:themeColor="text2" w:themeShade="BF"/>
          <w:spacing w:val="4"/>
          <w:sz w:val="28"/>
          <w:szCs w:val="28"/>
        </w:rPr>
      </w:pPr>
      <w:r w:rsidRPr="00FA7B2A">
        <w:rPr>
          <w:rFonts w:ascii="Times New Roman" w:hAnsi="Times New Roman"/>
          <w:bCs/>
          <w:color w:val="17365D" w:themeColor="text2" w:themeShade="BF"/>
          <w:spacing w:val="4"/>
          <w:sz w:val="28"/>
          <w:szCs w:val="28"/>
        </w:rPr>
        <w:lastRenderedPageBreak/>
        <w:t>Tên riêng bao gồm tên địa phương, tên danh nhân văn hóa, lịch sử, tên cá nhân, tổ chức.</w:t>
      </w:r>
    </w:p>
    <w:p w:rsidR="00095DEC" w:rsidRPr="00FA7B2A" w:rsidRDefault="00095DEC" w:rsidP="00095DEC">
      <w:pPr>
        <w:tabs>
          <w:tab w:val="left" w:pos="142"/>
          <w:tab w:val="left" w:pos="851"/>
        </w:tabs>
        <w:spacing w:before="20" w:after="120"/>
        <w:ind w:firstLine="567"/>
        <w:jc w:val="both"/>
        <w:rPr>
          <w:bCs/>
          <w:color w:val="17365D" w:themeColor="text2" w:themeShade="BF"/>
          <w:spacing w:val="4"/>
          <w:sz w:val="28"/>
          <w:szCs w:val="28"/>
        </w:rPr>
      </w:pPr>
      <w:r w:rsidRPr="00FA7B2A">
        <w:rPr>
          <w:bCs/>
          <w:color w:val="17365D" w:themeColor="text2" w:themeShade="BF"/>
          <w:spacing w:val="4"/>
          <w:sz w:val="28"/>
          <w:szCs w:val="28"/>
        </w:rPr>
        <w:t>Ngoài ra dự thảo cũng quy định rõ về hồ sơ và quy trình xử lý việc đổi tên.</w:t>
      </w:r>
    </w:p>
    <w:p w:rsidR="00095DEC" w:rsidRPr="00FA7B2A" w:rsidRDefault="00095DEC" w:rsidP="00095DEC">
      <w:pPr>
        <w:pStyle w:val="ListParagraph"/>
        <w:numPr>
          <w:ilvl w:val="0"/>
          <w:numId w:val="1"/>
        </w:numPr>
        <w:tabs>
          <w:tab w:val="left" w:pos="142"/>
          <w:tab w:val="left" w:pos="851"/>
        </w:tabs>
        <w:spacing w:before="20" w:after="120"/>
        <w:ind w:left="0" w:firstLine="567"/>
        <w:jc w:val="both"/>
        <w:rPr>
          <w:rFonts w:ascii="Times New Roman" w:hAnsi="Times New Roman"/>
          <w:b/>
          <w:bCs/>
          <w:color w:val="17365D" w:themeColor="text2" w:themeShade="BF"/>
          <w:spacing w:val="4"/>
          <w:sz w:val="28"/>
          <w:szCs w:val="28"/>
        </w:rPr>
      </w:pPr>
      <w:r w:rsidRPr="00FA7B2A">
        <w:rPr>
          <w:rFonts w:ascii="Times New Roman" w:hAnsi="Times New Roman"/>
          <w:b/>
          <w:bCs/>
          <w:color w:val="17365D" w:themeColor="text2" w:themeShade="BF"/>
          <w:spacing w:val="4"/>
          <w:sz w:val="28"/>
          <w:szCs w:val="28"/>
        </w:rPr>
        <w:t>Về việc thành lập của phân hiệu cơ sở giáo dục đại học tại Việt Nam</w:t>
      </w:r>
    </w:p>
    <w:p w:rsidR="00095DEC" w:rsidRPr="00FA7B2A" w:rsidRDefault="00095DEC" w:rsidP="00095DEC">
      <w:pPr>
        <w:tabs>
          <w:tab w:val="left" w:pos="142"/>
          <w:tab w:val="left" w:pos="851"/>
        </w:tabs>
        <w:spacing w:before="20" w:after="120"/>
        <w:ind w:firstLine="567"/>
        <w:jc w:val="both"/>
        <w:rPr>
          <w:b/>
          <w:bCs/>
          <w:color w:val="17365D" w:themeColor="text2" w:themeShade="BF"/>
          <w:spacing w:val="4"/>
          <w:sz w:val="28"/>
          <w:szCs w:val="28"/>
        </w:rPr>
      </w:pPr>
      <w:r w:rsidRPr="00FA7B2A">
        <w:rPr>
          <w:bCs/>
          <w:i/>
          <w:color w:val="17365D" w:themeColor="text2" w:themeShade="BF"/>
          <w:spacing w:val="4"/>
          <w:sz w:val="28"/>
          <w:szCs w:val="28"/>
        </w:rPr>
        <w:t>(quy định tại Khoản 4 Điều 21 của Luật)</w:t>
      </w:r>
    </w:p>
    <w:p w:rsidR="00095DEC" w:rsidRPr="00FA7B2A" w:rsidRDefault="00095DEC" w:rsidP="00095DEC">
      <w:pPr>
        <w:tabs>
          <w:tab w:val="left" w:pos="142"/>
          <w:tab w:val="left" w:pos="851"/>
        </w:tabs>
        <w:spacing w:before="20" w:after="120"/>
        <w:ind w:firstLine="567"/>
        <w:jc w:val="both"/>
        <w:rPr>
          <w:bCs/>
          <w:color w:val="17365D" w:themeColor="text2" w:themeShade="BF"/>
          <w:spacing w:val="4"/>
          <w:sz w:val="28"/>
          <w:szCs w:val="28"/>
        </w:rPr>
      </w:pPr>
      <w:r w:rsidRPr="00FA7B2A">
        <w:rPr>
          <w:bCs/>
          <w:color w:val="17365D" w:themeColor="text2" w:themeShade="BF"/>
          <w:spacing w:val="4"/>
          <w:sz w:val="28"/>
          <w:szCs w:val="28"/>
        </w:rPr>
        <w:t>Dự thảo nghị định (Điều 10) quy định theo 02 đối tượng:</w:t>
      </w:r>
    </w:p>
    <w:p w:rsidR="00095DEC" w:rsidRPr="00FA7B2A" w:rsidRDefault="00095DEC" w:rsidP="00095DEC">
      <w:pPr>
        <w:pStyle w:val="ListParagraph"/>
        <w:numPr>
          <w:ilvl w:val="0"/>
          <w:numId w:val="2"/>
        </w:numPr>
        <w:tabs>
          <w:tab w:val="left" w:pos="142"/>
          <w:tab w:val="left" w:pos="851"/>
        </w:tabs>
        <w:spacing w:before="20" w:after="120"/>
        <w:ind w:left="0" w:firstLine="567"/>
        <w:jc w:val="both"/>
        <w:rPr>
          <w:rFonts w:ascii="Times New Roman" w:hAnsi="Times New Roman"/>
          <w:bCs/>
          <w:color w:val="17365D" w:themeColor="text2" w:themeShade="BF"/>
          <w:spacing w:val="4"/>
          <w:sz w:val="28"/>
          <w:szCs w:val="28"/>
        </w:rPr>
      </w:pPr>
      <w:r w:rsidRPr="00FA7B2A">
        <w:rPr>
          <w:rFonts w:ascii="Times New Roman" w:hAnsi="Times New Roman"/>
          <w:bCs/>
          <w:color w:val="17365D" w:themeColor="text2" w:themeShade="BF"/>
          <w:spacing w:val="4"/>
          <w:sz w:val="28"/>
          <w:szCs w:val="28"/>
        </w:rPr>
        <w:t>Đối với phân hiệu của cơ sở giáo dục đại học của Việt Nam: thực hiện theo quy định hiện hành của Chính phủ về điều kiện đầu tư và hoạt động trong lĩnh vực giáo dục;</w:t>
      </w:r>
    </w:p>
    <w:p w:rsidR="00095DEC" w:rsidRPr="00FA7B2A" w:rsidRDefault="00095DEC" w:rsidP="00095DEC">
      <w:pPr>
        <w:pStyle w:val="ListParagraph"/>
        <w:numPr>
          <w:ilvl w:val="0"/>
          <w:numId w:val="2"/>
        </w:numPr>
        <w:tabs>
          <w:tab w:val="left" w:pos="142"/>
          <w:tab w:val="left" w:pos="851"/>
        </w:tabs>
        <w:spacing w:before="20" w:after="120"/>
        <w:ind w:left="0" w:firstLine="567"/>
        <w:jc w:val="both"/>
        <w:rPr>
          <w:rFonts w:ascii="Times New Roman" w:hAnsi="Times New Roman"/>
          <w:bCs/>
          <w:color w:val="17365D" w:themeColor="text2" w:themeShade="BF"/>
          <w:spacing w:val="4"/>
          <w:sz w:val="28"/>
          <w:szCs w:val="28"/>
        </w:rPr>
      </w:pPr>
      <w:r w:rsidRPr="00FA7B2A">
        <w:rPr>
          <w:rFonts w:ascii="Times New Roman" w:hAnsi="Times New Roman"/>
          <w:bCs/>
          <w:color w:val="17365D" w:themeColor="text2" w:themeShade="BF"/>
          <w:spacing w:val="4"/>
          <w:sz w:val="28"/>
          <w:szCs w:val="28"/>
        </w:rPr>
        <w:t>Đối với phân hiệu của cơ sở giáo dục nước ngoài tại Việt Nam: thực hiện theo quy định hiện hành của Chính phủ về hợp tác, đầu tư của nước ngoài trong lĩnh vực giáo dục.</w:t>
      </w:r>
    </w:p>
    <w:p w:rsidR="00095DEC" w:rsidRPr="00FA7B2A" w:rsidRDefault="00095DEC" w:rsidP="00095DEC">
      <w:pPr>
        <w:tabs>
          <w:tab w:val="left" w:pos="142"/>
          <w:tab w:val="left" w:pos="851"/>
        </w:tabs>
        <w:spacing w:before="20" w:after="120"/>
        <w:ind w:firstLine="567"/>
        <w:jc w:val="both"/>
        <w:rPr>
          <w:bCs/>
          <w:color w:val="17365D" w:themeColor="text2" w:themeShade="BF"/>
          <w:spacing w:val="4"/>
          <w:sz w:val="28"/>
          <w:szCs w:val="28"/>
        </w:rPr>
      </w:pPr>
      <w:r w:rsidRPr="00FA7B2A">
        <w:rPr>
          <w:bCs/>
          <w:color w:val="17365D" w:themeColor="text2" w:themeShade="BF"/>
          <w:spacing w:val="4"/>
          <w:sz w:val="28"/>
          <w:szCs w:val="28"/>
        </w:rPr>
        <w:t>Như vậy, hiện nay đối với phân hiệu của cơ sở giáo dục đại học của Việt Nam thì thành lập theo Nghị định số 46/2017/NĐ-CP và Nghị định số 135/2018/NĐ-CP; đối với phân hiệu của cơ sở giáo dục nước ngoài tại Việt Nam thì thành lập theo Nghị định số 86/2018/NĐ-CP.</w:t>
      </w:r>
    </w:p>
    <w:p w:rsidR="00095DEC" w:rsidRPr="00FA7B2A" w:rsidRDefault="00095DEC" w:rsidP="00095DEC">
      <w:pPr>
        <w:pStyle w:val="ListParagraph"/>
        <w:numPr>
          <w:ilvl w:val="0"/>
          <w:numId w:val="1"/>
        </w:numPr>
        <w:tabs>
          <w:tab w:val="left" w:pos="142"/>
          <w:tab w:val="left" w:pos="851"/>
        </w:tabs>
        <w:spacing w:before="20" w:after="120"/>
        <w:ind w:left="0" w:firstLine="567"/>
        <w:jc w:val="both"/>
        <w:rPr>
          <w:rFonts w:ascii="Times New Roman" w:hAnsi="Times New Roman"/>
          <w:b/>
          <w:bCs/>
          <w:color w:val="17365D" w:themeColor="text2" w:themeShade="BF"/>
          <w:spacing w:val="4"/>
          <w:sz w:val="28"/>
          <w:szCs w:val="28"/>
        </w:rPr>
      </w:pPr>
      <w:r w:rsidRPr="00FA7B2A">
        <w:rPr>
          <w:rFonts w:ascii="Times New Roman" w:hAnsi="Times New Roman"/>
          <w:b/>
          <w:bCs/>
          <w:color w:val="17365D" w:themeColor="text2" w:themeShade="BF"/>
          <w:spacing w:val="4"/>
          <w:sz w:val="28"/>
          <w:szCs w:val="28"/>
        </w:rPr>
        <w:t>Về quyền tự chủ và trách nhiệm giải trình của cơ sở giáo dục đại học</w:t>
      </w:r>
    </w:p>
    <w:p w:rsidR="00095DEC" w:rsidRPr="00FA7B2A" w:rsidRDefault="00095DEC" w:rsidP="00095DEC">
      <w:pPr>
        <w:tabs>
          <w:tab w:val="left" w:pos="142"/>
          <w:tab w:val="left" w:pos="851"/>
        </w:tabs>
        <w:spacing w:before="20" w:after="120"/>
        <w:ind w:firstLine="567"/>
        <w:jc w:val="both"/>
        <w:rPr>
          <w:b/>
          <w:bCs/>
          <w:color w:val="17365D" w:themeColor="text2" w:themeShade="BF"/>
          <w:spacing w:val="4"/>
          <w:sz w:val="28"/>
          <w:szCs w:val="28"/>
        </w:rPr>
      </w:pPr>
      <w:r w:rsidRPr="00FA7B2A">
        <w:rPr>
          <w:bCs/>
          <w:i/>
          <w:color w:val="17365D" w:themeColor="text2" w:themeShade="BF"/>
          <w:spacing w:val="4"/>
          <w:sz w:val="28"/>
          <w:szCs w:val="28"/>
        </w:rPr>
        <w:t>(quy định tại Khoản 7 Điều 32 của Luật)</w:t>
      </w:r>
    </w:p>
    <w:p w:rsidR="00095DEC" w:rsidRPr="00FA7B2A" w:rsidRDefault="00095DEC" w:rsidP="00095DEC">
      <w:pPr>
        <w:tabs>
          <w:tab w:val="left" w:pos="142"/>
          <w:tab w:val="left" w:pos="851"/>
        </w:tabs>
        <w:spacing w:before="20" w:after="120"/>
        <w:ind w:firstLine="567"/>
        <w:jc w:val="both"/>
        <w:rPr>
          <w:bCs/>
          <w:color w:val="17365D" w:themeColor="text2" w:themeShade="BF"/>
          <w:spacing w:val="4"/>
          <w:sz w:val="28"/>
          <w:szCs w:val="28"/>
        </w:rPr>
      </w:pPr>
      <w:r w:rsidRPr="00FA7B2A">
        <w:rPr>
          <w:bCs/>
          <w:color w:val="17365D" w:themeColor="text2" w:themeShade="BF"/>
          <w:spacing w:val="4"/>
          <w:sz w:val="28"/>
          <w:szCs w:val="28"/>
        </w:rPr>
        <w:t>Dự thảo nghị định (Điều 12) quy định:</w:t>
      </w:r>
    </w:p>
    <w:p w:rsidR="00095DEC" w:rsidRPr="00FA7B2A" w:rsidRDefault="00095DEC" w:rsidP="00095DEC">
      <w:pPr>
        <w:pStyle w:val="ListParagraph"/>
        <w:numPr>
          <w:ilvl w:val="0"/>
          <w:numId w:val="2"/>
        </w:numPr>
        <w:tabs>
          <w:tab w:val="left" w:pos="142"/>
          <w:tab w:val="left" w:pos="851"/>
        </w:tabs>
        <w:spacing w:before="20" w:after="120"/>
        <w:ind w:left="0" w:firstLine="567"/>
        <w:jc w:val="both"/>
        <w:rPr>
          <w:rFonts w:ascii="Times New Roman" w:hAnsi="Times New Roman"/>
          <w:bCs/>
          <w:color w:val="17365D" w:themeColor="text2" w:themeShade="BF"/>
          <w:spacing w:val="4"/>
          <w:sz w:val="28"/>
          <w:szCs w:val="28"/>
        </w:rPr>
      </w:pPr>
      <w:r w:rsidRPr="00FA7B2A">
        <w:rPr>
          <w:rFonts w:ascii="Times New Roman" w:hAnsi="Times New Roman"/>
          <w:bCs/>
          <w:color w:val="17365D" w:themeColor="text2" w:themeShade="BF"/>
          <w:spacing w:val="4"/>
          <w:sz w:val="28"/>
          <w:szCs w:val="28"/>
        </w:rPr>
        <w:t>Cụ thể hóa các nội dung tự chủ về: đào tạo; khoa học và công nghệ; tổ chức bộ máy và nhân sự; tài chính và tài sản;</w:t>
      </w:r>
    </w:p>
    <w:p w:rsidR="00095DEC" w:rsidRPr="00FA7B2A" w:rsidRDefault="00095DEC" w:rsidP="00095DEC">
      <w:pPr>
        <w:pStyle w:val="ListParagraph"/>
        <w:numPr>
          <w:ilvl w:val="0"/>
          <w:numId w:val="2"/>
        </w:numPr>
        <w:tabs>
          <w:tab w:val="left" w:pos="142"/>
          <w:tab w:val="left" w:pos="851"/>
        </w:tabs>
        <w:spacing w:before="20" w:after="120"/>
        <w:ind w:left="0" w:firstLine="567"/>
        <w:jc w:val="both"/>
        <w:rPr>
          <w:rFonts w:ascii="Times New Roman" w:hAnsi="Times New Roman"/>
          <w:bCs/>
          <w:color w:val="17365D" w:themeColor="text2" w:themeShade="BF"/>
          <w:spacing w:val="4"/>
          <w:sz w:val="28"/>
          <w:szCs w:val="28"/>
        </w:rPr>
      </w:pPr>
      <w:r w:rsidRPr="00FA7B2A">
        <w:rPr>
          <w:rFonts w:ascii="Times New Roman" w:hAnsi="Times New Roman"/>
          <w:bCs/>
          <w:color w:val="17365D" w:themeColor="text2" w:themeShade="BF"/>
          <w:spacing w:val="4"/>
          <w:sz w:val="28"/>
          <w:szCs w:val="28"/>
        </w:rPr>
        <w:t>Trách nhiệm giải trình: báo cáo định kỳ; thuyết minh, giải trình; thực hiện công khai trên trang thông tin điện tử.</w:t>
      </w:r>
    </w:p>
    <w:p w:rsidR="00095DEC" w:rsidRPr="00FA7B2A" w:rsidRDefault="00095DEC" w:rsidP="00095DEC">
      <w:pPr>
        <w:tabs>
          <w:tab w:val="left" w:pos="142"/>
          <w:tab w:val="left" w:pos="851"/>
        </w:tabs>
        <w:spacing w:before="20" w:after="120"/>
        <w:ind w:firstLine="567"/>
        <w:jc w:val="both"/>
        <w:rPr>
          <w:bCs/>
          <w:color w:val="17365D" w:themeColor="text2" w:themeShade="BF"/>
          <w:spacing w:val="2"/>
          <w:sz w:val="28"/>
          <w:szCs w:val="28"/>
        </w:rPr>
      </w:pPr>
      <w:r w:rsidRPr="00FA7B2A">
        <w:rPr>
          <w:bCs/>
          <w:color w:val="17365D" w:themeColor="text2" w:themeShade="BF"/>
          <w:spacing w:val="2"/>
          <w:sz w:val="28"/>
          <w:szCs w:val="28"/>
        </w:rPr>
        <w:t>Với các quy định chi tiết như trên, các trường đã có cơ sở để thực hiện tự chủ, đồng thời phải có trách nhiệm hơn trong việc giải trình và công khai thông tin nội bộ.</w:t>
      </w:r>
    </w:p>
    <w:p w:rsidR="00095DEC" w:rsidRPr="00FA7B2A" w:rsidRDefault="00095DEC" w:rsidP="00095DEC">
      <w:pPr>
        <w:pStyle w:val="ListParagraph"/>
        <w:numPr>
          <w:ilvl w:val="0"/>
          <w:numId w:val="1"/>
        </w:numPr>
        <w:tabs>
          <w:tab w:val="left" w:pos="142"/>
          <w:tab w:val="left" w:pos="993"/>
        </w:tabs>
        <w:spacing w:before="20" w:after="120"/>
        <w:ind w:left="0" w:firstLine="567"/>
        <w:jc w:val="both"/>
        <w:rPr>
          <w:rFonts w:ascii="Times New Roman" w:hAnsi="Times New Roman"/>
          <w:b/>
          <w:bCs/>
          <w:color w:val="17365D" w:themeColor="text2" w:themeShade="BF"/>
          <w:spacing w:val="4"/>
          <w:sz w:val="28"/>
          <w:szCs w:val="28"/>
        </w:rPr>
      </w:pPr>
      <w:r w:rsidRPr="00FA7B2A">
        <w:rPr>
          <w:rFonts w:ascii="Times New Roman" w:hAnsi="Times New Roman"/>
          <w:b/>
          <w:bCs/>
          <w:color w:val="17365D" w:themeColor="text2" w:themeShade="BF"/>
          <w:spacing w:val="4"/>
          <w:sz w:val="28"/>
          <w:szCs w:val="28"/>
        </w:rPr>
        <w:t>Về hoạt động khoa học và công nghệ</w:t>
      </w:r>
    </w:p>
    <w:p w:rsidR="00095DEC" w:rsidRPr="00FA7B2A" w:rsidRDefault="00095DEC" w:rsidP="00095DEC">
      <w:pPr>
        <w:tabs>
          <w:tab w:val="left" w:pos="142"/>
          <w:tab w:val="left" w:pos="851"/>
        </w:tabs>
        <w:spacing w:before="20" w:after="120"/>
        <w:ind w:firstLine="567"/>
        <w:jc w:val="both"/>
        <w:rPr>
          <w:b/>
          <w:bCs/>
          <w:color w:val="17365D" w:themeColor="text2" w:themeShade="BF"/>
          <w:spacing w:val="4"/>
          <w:sz w:val="28"/>
          <w:szCs w:val="28"/>
        </w:rPr>
      </w:pPr>
      <w:r w:rsidRPr="00FA7B2A">
        <w:rPr>
          <w:bCs/>
          <w:i/>
          <w:color w:val="17365D" w:themeColor="text2" w:themeShade="BF"/>
          <w:spacing w:val="4"/>
          <w:sz w:val="28"/>
          <w:szCs w:val="28"/>
        </w:rPr>
        <w:t>(quy định tại Điều 42 của Luật)</w:t>
      </w:r>
    </w:p>
    <w:p w:rsidR="00095DEC" w:rsidRPr="00FA7B2A" w:rsidRDefault="00095DEC" w:rsidP="00095DEC">
      <w:pPr>
        <w:tabs>
          <w:tab w:val="left" w:pos="142"/>
          <w:tab w:val="left" w:pos="851"/>
        </w:tabs>
        <w:spacing w:before="20" w:after="120"/>
        <w:ind w:firstLine="567"/>
        <w:jc w:val="both"/>
        <w:rPr>
          <w:bCs/>
          <w:color w:val="17365D" w:themeColor="text2" w:themeShade="BF"/>
          <w:spacing w:val="4"/>
          <w:sz w:val="28"/>
          <w:szCs w:val="28"/>
        </w:rPr>
      </w:pPr>
      <w:r w:rsidRPr="00FA7B2A">
        <w:rPr>
          <w:bCs/>
          <w:color w:val="17365D" w:themeColor="text2" w:themeShade="BF"/>
          <w:spacing w:val="4"/>
          <w:sz w:val="28"/>
          <w:szCs w:val="28"/>
        </w:rPr>
        <w:t>Dự thảo nghị định (Điều 15) quy định:</w:t>
      </w:r>
    </w:p>
    <w:p w:rsidR="00095DEC" w:rsidRPr="00FA7B2A" w:rsidRDefault="00095DEC" w:rsidP="00095DEC">
      <w:pPr>
        <w:tabs>
          <w:tab w:val="left" w:pos="142"/>
          <w:tab w:val="left" w:pos="851"/>
        </w:tabs>
        <w:spacing w:before="20" w:after="120"/>
        <w:ind w:firstLine="567"/>
        <w:jc w:val="both"/>
        <w:rPr>
          <w:color w:val="17365D" w:themeColor="text2" w:themeShade="BF"/>
          <w:spacing w:val="4"/>
          <w:sz w:val="28"/>
          <w:szCs w:val="28"/>
        </w:rPr>
      </w:pPr>
      <w:r w:rsidRPr="00FA7B2A">
        <w:rPr>
          <w:bCs/>
          <w:color w:val="17365D" w:themeColor="text2" w:themeShade="BF"/>
          <w:spacing w:val="4"/>
          <w:sz w:val="28"/>
          <w:szCs w:val="28"/>
        </w:rPr>
        <w:t xml:space="preserve">Trong hoạt động khoa học và công nghệ các cơ sở giáo dục đại học thực hiện cơ chế tự chủ, tự chịu trách nhiệm; </w:t>
      </w:r>
      <w:r w:rsidRPr="00FA7B2A">
        <w:rPr>
          <w:color w:val="17365D" w:themeColor="text2" w:themeShade="BF"/>
          <w:spacing w:val="4"/>
          <w:sz w:val="28"/>
          <w:szCs w:val="28"/>
        </w:rPr>
        <w:t>b</w:t>
      </w:r>
      <w:r w:rsidRPr="00FA7B2A">
        <w:rPr>
          <w:color w:val="17365D" w:themeColor="text2" w:themeShade="BF"/>
          <w:spacing w:val="4"/>
          <w:sz w:val="28"/>
          <w:szCs w:val="28"/>
          <w:lang w:val="vi-VN"/>
        </w:rPr>
        <w:t>an hành và tổ chức thực hiện các quy định nội bộ</w:t>
      </w:r>
      <w:r w:rsidRPr="00FA7B2A">
        <w:rPr>
          <w:color w:val="17365D" w:themeColor="text2" w:themeShade="BF"/>
          <w:spacing w:val="4"/>
          <w:sz w:val="28"/>
          <w:szCs w:val="28"/>
        </w:rPr>
        <w:t>; x</w:t>
      </w:r>
      <w:r w:rsidRPr="00FA7B2A">
        <w:rPr>
          <w:color w:val="17365D" w:themeColor="text2" w:themeShade="BF"/>
          <w:spacing w:val="4"/>
          <w:sz w:val="28"/>
          <w:szCs w:val="28"/>
          <w:lang w:val="vi-VN"/>
        </w:rPr>
        <w:t>ây dựng các mô hình đổi mới sáng tạo và khởi nghiệp gắn với chuyển giao tri thức</w:t>
      </w:r>
      <w:r w:rsidRPr="00FA7B2A">
        <w:rPr>
          <w:color w:val="17365D" w:themeColor="text2" w:themeShade="BF"/>
          <w:spacing w:val="4"/>
          <w:sz w:val="28"/>
          <w:szCs w:val="28"/>
        </w:rPr>
        <w:t>.</w:t>
      </w:r>
    </w:p>
    <w:p w:rsidR="00095DEC" w:rsidRPr="00FA7B2A" w:rsidRDefault="00095DEC" w:rsidP="00095DEC">
      <w:pPr>
        <w:pStyle w:val="NormalWeb"/>
        <w:shd w:val="clear" w:color="auto" w:fill="FFFFFF"/>
        <w:spacing w:before="20" w:beforeAutospacing="0" w:after="120" w:afterAutospacing="0" w:line="380" w:lineRule="exact"/>
        <w:rPr>
          <w:color w:val="17365D" w:themeColor="text2" w:themeShade="BF"/>
          <w:spacing w:val="4"/>
          <w:sz w:val="28"/>
          <w:szCs w:val="28"/>
        </w:rPr>
      </w:pPr>
      <w:r w:rsidRPr="00FA7B2A">
        <w:rPr>
          <w:color w:val="17365D" w:themeColor="text2" w:themeShade="BF"/>
          <w:spacing w:val="4"/>
          <w:sz w:val="28"/>
          <w:szCs w:val="28"/>
        </w:rPr>
        <w:lastRenderedPageBreak/>
        <w:t xml:space="preserve">Ngoài ra, dự thảo quy định cụ thể các hoạt động khoa học và công nghệ của </w:t>
      </w:r>
      <w:r w:rsidRPr="00FA7B2A">
        <w:rPr>
          <w:bCs/>
          <w:color w:val="17365D" w:themeColor="text2" w:themeShade="BF"/>
          <w:spacing w:val="4"/>
          <w:sz w:val="28"/>
          <w:szCs w:val="28"/>
          <w:lang w:val="vi-VN"/>
        </w:rPr>
        <w:t>các cơ sở giáo dục đại học</w:t>
      </w:r>
      <w:r w:rsidRPr="00FA7B2A">
        <w:rPr>
          <w:bCs/>
          <w:color w:val="17365D" w:themeColor="text2" w:themeShade="BF"/>
          <w:spacing w:val="4"/>
          <w:sz w:val="28"/>
          <w:szCs w:val="28"/>
        </w:rPr>
        <w:t xml:space="preserve"> theo hướng tự chủ, tự chịu trách nhiệm. Đây là động lực để các </w:t>
      </w:r>
      <w:r w:rsidRPr="00FA7B2A">
        <w:rPr>
          <w:bCs/>
          <w:color w:val="17365D" w:themeColor="text2" w:themeShade="BF"/>
          <w:spacing w:val="4"/>
          <w:sz w:val="28"/>
          <w:szCs w:val="28"/>
          <w:lang w:val="vi-VN"/>
        </w:rPr>
        <w:t>cơ sở giáo dục đại học</w:t>
      </w:r>
      <w:r w:rsidRPr="00FA7B2A">
        <w:rPr>
          <w:bCs/>
          <w:color w:val="17365D" w:themeColor="text2" w:themeShade="BF"/>
          <w:spacing w:val="4"/>
          <w:sz w:val="28"/>
          <w:szCs w:val="28"/>
        </w:rPr>
        <w:t xml:space="preserve"> đẩy mạnh hoạt động </w:t>
      </w:r>
      <w:r w:rsidRPr="00FA7B2A">
        <w:rPr>
          <w:color w:val="17365D" w:themeColor="text2" w:themeShade="BF"/>
          <w:spacing w:val="4"/>
          <w:sz w:val="28"/>
          <w:szCs w:val="28"/>
        </w:rPr>
        <w:t>khoa học và công nghệ trong các năm tới.</w:t>
      </w:r>
    </w:p>
    <w:p w:rsidR="00095DEC" w:rsidRPr="00FA7B2A" w:rsidRDefault="00095DEC" w:rsidP="00095DEC">
      <w:pPr>
        <w:pStyle w:val="ListParagraph"/>
        <w:numPr>
          <w:ilvl w:val="0"/>
          <w:numId w:val="1"/>
        </w:numPr>
        <w:tabs>
          <w:tab w:val="left" w:pos="142"/>
          <w:tab w:val="left" w:pos="993"/>
        </w:tabs>
        <w:spacing w:before="20" w:after="120"/>
        <w:ind w:left="0" w:firstLine="567"/>
        <w:jc w:val="both"/>
        <w:rPr>
          <w:rFonts w:ascii="Times New Roman" w:hAnsi="Times New Roman"/>
          <w:b/>
          <w:bCs/>
          <w:color w:val="17365D" w:themeColor="text2" w:themeShade="BF"/>
          <w:spacing w:val="4"/>
          <w:sz w:val="28"/>
          <w:szCs w:val="28"/>
        </w:rPr>
      </w:pPr>
      <w:r w:rsidRPr="00FA7B2A">
        <w:rPr>
          <w:rFonts w:ascii="Times New Roman" w:hAnsi="Times New Roman"/>
          <w:b/>
          <w:bCs/>
          <w:color w:val="17365D" w:themeColor="text2" w:themeShade="BF"/>
          <w:spacing w:val="4"/>
          <w:sz w:val="28"/>
          <w:szCs w:val="28"/>
        </w:rPr>
        <w:t>Về tổ chức kiểm định chất lượng giáo dục</w:t>
      </w:r>
    </w:p>
    <w:p w:rsidR="00095DEC" w:rsidRPr="00FA7B2A" w:rsidRDefault="00095DEC" w:rsidP="00095DEC">
      <w:pPr>
        <w:tabs>
          <w:tab w:val="left" w:pos="142"/>
          <w:tab w:val="left" w:pos="851"/>
        </w:tabs>
        <w:spacing w:before="20" w:after="120"/>
        <w:ind w:firstLine="567"/>
        <w:jc w:val="both"/>
        <w:rPr>
          <w:b/>
          <w:bCs/>
          <w:color w:val="17365D" w:themeColor="text2" w:themeShade="BF"/>
          <w:spacing w:val="4"/>
          <w:sz w:val="28"/>
          <w:szCs w:val="28"/>
        </w:rPr>
      </w:pPr>
      <w:r w:rsidRPr="00FA7B2A">
        <w:rPr>
          <w:bCs/>
          <w:i/>
          <w:color w:val="17365D" w:themeColor="text2" w:themeShade="BF"/>
          <w:spacing w:val="4"/>
          <w:sz w:val="28"/>
          <w:szCs w:val="28"/>
        </w:rPr>
        <w:t>(quy định tại Điều 52 của Luật)</w:t>
      </w:r>
    </w:p>
    <w:p w:rsidR="00095DEC" w:rsidRPr="00FA7B2A" w:rsidRDefault="00095DEC" w:rsidP="00095DEC">
      <w:pPr>
        <w:tabs>
          <w:tab w:val="left" w:pos="142"/>
          <w:tab w:val="left" w:pos="851"/>
        </w:tabs>
        <w:spacing w:before="20" w:after="120"/>
        <w:ind w:firstLine="567"/>
        <w:jc w:val="both"/>
        <w:rPr>
          <w:bCs/>
          <w:color w:val="17365D" w:themeColor="text2" w:themeShade="BF"/>
          <w:spacing w:val="4"/>
          <w:sz w:val="28"/>
          <w:szCs w:val="28"/>
        </w:rPr>
      </w:pPr>
      <w:r w:rsidRPr="00FA7B2A">
        <w:rPr>
          <w:bCs/>
          <w:color w:val="17365D" w:themeColor="text2" w:themeShade="BF"/>
          <w:spacing w:val="4"/>
          <w:sz w:val="28"/>
          <w:szCs w:val="28"/>
        </w:rPr>
        <w:t>Dự thảo nghị định (Điều 11) quy định:</w:t>
      </w:r>
    </w:p>
    <w:p w:rsidR="00095DEC" w:rsidRPr="00FA7B2A" w:rsidRDefault="00095DEC" w:rsidP="00095DEC">
      <w:pPr>
        <w:pStyle w:val="ListParagraph"/>
        <w:numPr>
          <w:ilvl w:val="0"/>
          <w:numId w:val="2"/>
        </w:numPr>
        <w:tabs>
          <w:tab w:val="left" w:pos="142"/>
          <w:tab w:val="left" w:pos="851"/>
        </w:tabs>
        <w:spacing w:before="20" w:after="120"/>
        <w:ind w:left="0" w:firstLine="567"/>
        <w:jc w:val="both"/>
        <w:rPr>
          <w:rFonts w:ascii="Times New Roman" w:hAnsi="Times New Roman"/>
          <w:bCs/>
          <w:color w:val="17365D" w:themeColor="text2" w:themeShade="BF"/>
          <w:spacing w:val="4"/>
          <w:sz w:val="28"/>
          <w:szCs w:val="28"/>
        </w:rPr>
      </w:pPr>
      <w:r w:rsidRPr="00FA7B2A">
        <w:rPr>
          <w:rFonts w:ascii="Times New Roman" w:hAnsi="Times New Roman"/>
          <w:bCs/>
          <w:color w:val="17365D" w:themeColor="text2" w:themeShade="BF"/>
          <w:spacing w:val="4"/>
          <w:sz w:val="28"/>
          <w:szCs w:val="28"/>
        </w:rPr>
        <w:t>Việc thành lập tổ chức kiểm định chất lượng giáo dục của Việt Nam thực hiện theo quy định về điều kiện đầu tư và hoạt động trong lĩnh vực giáo dục (hiện nay là Nghị định số 46/2017/NĐ-CP và Nghị định số 135/2018/NĐ-CP);</w:t>
      </w:r>
    </w:p>
    <w:p w:rsidR="00095DEC" w:rsidRPr="00FA7B2A" w:rsidRDefault="00095DEC" w:rsidP="00095DEC">
      <w:pPr>
        <w:pStyle w:val="ListParagraph"/>
        <w:numPr>
          <w:ilvl w:val="0"/>
          <w:numId w:val="2"/>
        </w:numPr>
        <w:tabs>
          <w:tab w:val="left" w:pos="142"/>
          <w:tab w:val="left" w:pos="851"/>
        </w:tabs>
        <w:spacing w:before="20" w:after="120"/>
        <w:ind w:left="0" w:firstLine="567"/>
        <w:jc w:val="both"/>
        <w:rPr>
          <w:rFonts w:ascii="Times New Roman" w:hAnsi="Times New Roman"/>
          <w:bCs/>
          <w:color w:val="17365D" w:themeColor="text2" w:themeShade="BF"/>
          <w:spacing w:val="4"/>
          <w:sz w:val="28"/>
          <w:szCs w:val="28"/>
        </w:rPr>
      </w:pPr>
      <w:r w:rsidRPr="00FA7B2A">
        <w:rPr>
          <w:rFonts w:ascii="Times New Roman" w:hAnsi="Times New Roman"/>
          <w:bCs/>
          <w:color w:val="17365D" w:themeColor="text2" w:themeShade="BF"/>
          <w:spacing w:val="4"/>
          <w:sz w:val="28"/>
          <w:szCs w:val="28"/>
        </w:rPr>
        <w:t>Việc công nhận tổ chức kiểm định chất lượng giáo dục nước ngoài để được hoạt động tại Việt Nam thực hiện theo quy định về điều kiện đầu tư và hoạt động trong lĩnh vực giáo dục (hiện nay là Nghị định số 86/2018/NĐ-CP).</w:t>
      </w:r>
    </w:p>
    <w:p w:rsidR="00095DEC" w:rsidRPr="00FA7B2A" w:rsidRDefault="00095DEC" w:rsidP="00095DEC">
      <w:pPr>
        <w:tabs>
          <w:tab w:val="left" w:pos="142"/>
          <w:tab w:val="left" w:pos="851"/>
        </w:tabs>
        <w:spacing w:before="20" w:after="120"/>
        <w:ind w:firstLine="567"/>
        <w:jc w:val="both"/>
        <w:rPr>
          <w:bCs/>
          <w:color w:val="17365D" w:themeColor="text2" w:themeShade="BF"/>
          <w:spacing w:val="4"/>
          <w:sz w:val="28"/>
          <w:szCs w:val="28"/>
        </w:rPr>
      </w:pPr>
      <w:r w:rsidRPr="00FA7B2A">
        <w:rPr>
          <w:bCs/>
          <w:color w:val="17365D" w:themeColor="text2" w:themeShade="BF"/>
          <w:spacing w:val="4"/>
          <w:sz w:val="28"/>
          <w:szCs w:val="28"/>
        </w:rPr>
        <w:t>Ngoài ra dự thảo quy định rõ trách nhiệm, quyền hạn của tổ chức kiểm định chất lượng giáo dục đại học.</w:t>
      </w:r>
    </w:p>
    <w:p w:rsidR="00095DEC" w:rsidRPr="00FA7B2A" w:rsidRDefault="00095DEC" w:rsidP="00095DEC">
      <w:pPr>
        <w:tabs>
          <w:tab w:val="left" w:pos="142"/>
          <w:tab w:val="left" w:pos="851"/>
        </w:tabs>
        <w:spacing w:before="20" w:after="120"/>
        <w:ind w:firstLine="567"/>
        <w:jc w:val="both"/>
        <w:rPr>
          <w:bCs/>
          <w:color w:val="17365D" w:themeColor="text2" w:themeShade="BF"/>
          <w:spacing w:val="4"/>
          <w:sz w:val="28"/>
          <w:szCs w:val="28"/>
        </w:rPr>
      </w:pPr>
      <w:r w:rsidRPr="00FA7B2A">
        <w:rPr>
          <w:bCs/>
          <w:color w:val="17365D" w:themeColor="text2" w:themeShade="BF"/>
          <w:spacing w:val="4"/>
          <w:sz w:val="28"/>
          <w:szCs w:val="28"/>
        </w:rPr>
        <w:t>Như vậy, song song với việc quy định chi tiết về việc tự chủ của các cơ sở giáo dục đại học thì hoạt động kiểm định chất lượng giáo dục cũng được dự thảo cụ thể hóa. Đây là công cụ để Bộ Giáo dục và Đào tạo kiểm soát chất lượng giáo dục của các trường, hạn chế việc “lạm dụng” tự chủ của trường.</w:t>
      </w:r>
    </w:p>
    <w:p w:rsidR="00095DEC" w:rsidRPr="00FA7B2A" w:rsidRDefault="00095DEC" w:rsidP="00095DEC">
      <w:pPr>
        <w:pStyle w:val="ListParagraph"/>
        <w:numPr>
          <w:ilvl w:val="0"/>
          <w:numId w:val="1"/>
        </w:numPr>
        <w:tabs>
          <w:tab w:val="left" w:pos="142"/>
          <w:tab w:val="left" w:pos="993"/>
        </w:tabs>
        <w:spacing w:before="20" w:after="120"/>
        <w:ind w:left="0" w:firstLine="567"/>
        <w:jc w:val="both"/>
        <w:rPr>
          <w:rFonts w:ascii="Times New Roman" w:hAnsi="Times New Roman"/>
          <w:b/>
          <w:bCs/>
          <w:color w:val="17365D" w:themeColor="text2" w:themeShade="BF"/>
          <w:spacing w:val="4"/>
          <w:sz w:val="28"/>
          <w:szCs w:val="28"/>
        </w:rPr>
      </w:pPr>
      <w:r w:rsidRPr="00FA7B2A">
        <w:rPr>
          <w:rFonts w:ascii="Times New Roman" w:hAnsi="Times New Roman"/>
          <w:b/>
          <w:bCs/>
          <w:color w:val="17365D" w:themeColor="text2" w:themeShade="BF"/>
          <w:spacing w:val="4"/>
          <w:sz w:val="28"/>
          <w:szCs w:val="28"/>
        </w:rPr>
        <w:t>Về quản lý tài chính của cơ sở giáo dục đại học</w:t>
      </w:r>
    </w:p>
    <w:p w:rsidR="00095DEC" w:rsidRPr="00FA7B2A" w:rsidRDefault="00095DEC" w:rsidP="00095DEC">
      <w:pPr>
        <w:tabs>
          <w:tab w:val="left" w:pos="142"/>
          <w:tab w:val="left" w:pos="851"/>
        </w:tabs>
        <w:spacing w:before="20" w:after="120"/>
        <w:ind w:firstLine="567"/>
        <w:jc w:val="both"/>
        <w:rPr>
          <w:b/>
          <w:bCs/>
          <w:color w:val="17365D" w:themeColor="text2" w:themeShade="BF"/>
          <w:spacing w:val="4"/>
          <w:sz w:val="28"/>
          <w:szCs w:val="28"/>
        </w:rPr>
      </w:pPr>
      <w:r w:rsidRPr="00FA7B2A">
        <w:rPr>
          <w:bCs/>
          <w:i/>
          <w:color w:val="17365D" w:themeColor="text2" w:themeShade="BF"/>
          <w:spacing w:val="4"/>
          <w:sz w:val="28"/>
          <w:szCs w:val="28"/>
        </w:rPr>
        <w:t>(quy định tại Điều 66 của Luật)</w:t>
      </w:r>
    </w:p>
    <w:p w:rsidR="00095DEC" w:rsidRPr="00FA7B2A" w:rsidRDefault="00095DEC" w:rsidP="00095DEC">
      <w:pPr>
        <w:tabs>
          <w:tab w:val="left" w:pos="142"/>
          <w:tab w:val="left" w:pos="851"/>
        </w:tabs>
        <w:spacing w:before="20" w:after="120"/>
        <w:ind w:firstLine="567"/>
        <w:jc w:val="both"/>
        <w:rPr>
          <w:bCs/>
          <w:color w:val="17365D" w:themeColor="text2" w:themeShade="BF"/>
          <w:spacing w:val="4"/>
          <w:sz w:val="28"/>
          <w:szCs w:val="28"/>
        </w:rPr>
      </w:pPr>
      <w:r w:rsidRPr="00FA7B2A">
        <w:rPr>
          <w:bCs/>
          <w:color w:val="17365D" w:themeColor="text2" w:themeShade="BF"/>
          <w:spacing w:val="4"/>
          <w:sz w:val="28"/>
          <w:szCs w:val="28"/>
        </w:rPr>
        <w:t>Dự thảo nghị định (Điều 17) quy định:</w:t>
      </w:r>
    </w:p>
    <w:p w:rsidR="00095DEC" w:rsidRPr="00FA7B2A" w:rsidRDefault="00095DEC" w:rsidP="00095DEC">
      <w:pPr>
        <w:pStyle w:val="ListParagraph"/>
        <w:numPr>
          <w:ilvl w:val="0"/>
          <w:numId w:val="2"/>
        </w:numPr>
        <w:tabs>
          <w:tab w:val="left" w:pos="142"/>
          <w:tab w:val="left" w:pos="851"/>
        </w:tabs>
        <w:spacing w:before="20" w:after="120"/>
        <w:ind w:left="0" w:firstLine="567"/>
        <w:jc w:val="both"/>
        <w:rPr>
          <w:rFonts w:ascii="Times New Roman" w:hAnsi="Times New Roman"/>
          <w:bCs/>
          <w:color w:val="17365D" w:themeColor="text2" w:themeShade="BF"/>
          <w:spacing w:val="4"/>
          <w:sz w:val="28"/>
          <w:szCs w:val="28"/>
        </w:rPr>
      </w:pPr>
      <w:r w:rsidRPr="00FA7B2A">
        <w:rPr>
          <w:rFonts w:ascii="Times New Roman" w:hAnsi="Times New Roman"/>
          <w:bCs/>
          <w:color w:val="17365D" w:themeColor="text2" w:themeShade="BF"/>
          <w:spacing w:val="4"/>
          <w:sz w:val="28"/>
          <w:szCs w:val="28"/>
        </w:rPr>
        <w:t>Về việc rút vốn và chuyển nhượng vốn đầu tư thực hiện theo quy chế tổ chức và hoạt động, quy chế tài chính nội bộ của cơ sở giáo dục đại học. Đồng thời phải theo nguyên tắc ưu tiên theo thứ tự: thành viên góp vốn; người lao động trong nhà trường; những người không thuộc hai nhóm trên;</w:t>
      </w:r>
    </w:p>
    <w:p w:rsidR="00095DEC" w:rsidRPr="00FA7B2A" w:rsidRDefault="00095DEC" w:rsidP="00095DEC">
      <w:pPr>
        <w:pStyle w:val="ListParagraph"/>
        <w:numPr>
          <w:ilvl w:val="0"/>
          <w:numId w:val="2"/>
        </w:numPr>
        <w:tabs>
          <w:tab w:val="left" w:pos="142"/>
          <w:tab w:val="left" w:pos="851"/>
        </w:tabs>
        <w:spacing w:before="20" w:after="120"/>
        <w:ind w:left="0" w:firstLine="567"/>
        <w:jc w:val="both"/>
        <w:rPr>
          <w:rFonts w:ascii="Times New Roman" w:hAnsi="Times New Roman"/>
          <w:bCs/>
          <w:color w:val="17365D" w:themeColor="text2" w:themeShade="BF"/>
          <w:spacing w:val="4"/>
          <w:sz w:val="28"/>
          <w:szCs w:val="28"/>
        </w:rPr>
      </w:pPr>
      <w:r w:rsidRPr="00FA7B2A">
        <w:rPr>
          <w:rFonts w:ascii="Times New Roman" w:hAnsi="Times New Roman"/>
          <w:bCs/>
          <w:color w:val="17365D" w:themeColor="text2" w:themeShade="BF"/>
          <w:spacing w:val="4"/>
          <w:sz w:val="28"/>
          <w:szCs w:val="28"/>
        </w:rPr>
        <w:t>Dự thảo chưa hướng dẫn chi tiết đối với các nội dung sau: việc sử dụng nguồn tài chính của cơ sở giáo dục đại học công lập; cơ chế giao nhiệm vụ, đặt hàng hoặc đấu thầu cung cấp dịch vụ công sử dụng ngân sách nhà nước đối với cơ sở giáo dục đại học.</w:t>
      </w:r>
    </w:p>
    <w:p w:rsidR="00095DEC" w:rsidRPr="00FA7B2A" w:rsidRDefault="00095DEC" w:rsidP="00095DEC">
      <w:pPr>
        <w:tabs>
          <w:tab w:val="left" w:pos="142"/>
          <w:tab w:val="left" w:pos="851"/>
        </w:tabs>
        <w:spacing w:before="20" w:after="120"/>
        <w:ind w:firstLine="567"/>
        <w:jc w:val="both"/>
        <w:rPr>
          <w:bCs/>
          <w:color w:val="17365D" w:themeColor="text2" w:themeShade="BF"/>
          <w:spacing w:val="4"/>
          <w:sz w:val="28"/>
          <w:szCs w:val="28"/>
        </w:rPr>
      </w:pPr>
      <w:r w:rsidRPr="00FA7B2A">
        <w:rPr>
          <w:bCs/>
          <w:color w:val="17365D" w:themeColor="text2" w:themeShade="BF"/>
          <w:spacing w:val="4"/>
          <w:sz w:val="28"/>
          <w:szCs w:val="28"/>
        </w:rPr>
        <w:t>Như vậy, hiện dự thảo đang “nợ” một số quy định chưa được hướng dẫn mà Luật đã giao. Dự kiến</w:t>
      </w:r>
      <w:r w:rsidR="00B54E95" w:rsidRPr="00FA7B2A">
        <w:rPr>
          <w:bCs/>
          <w:color w:val="17365D" w:themeColor="text2" w:themeShade="BF"/>
          <w:spacing w:val="4"/>
          <w:sz w:val="28"/>
          <w:szCs w:val="28"/>
        </w:rPr>
        <w:t xml:space="preserve"> trong thời gian tới</w:t>
      </w:r>
      <w:r w:rsidR="00BA416C" w:rsidRPr="00FA7B2A">
        <w:rPr>
          <w:bCs/>
          <w:color w:val="17365D" w:themeColor="text2" w:themeShade="BF"/>
          <w:spacing w:val="4"/>
          <w:sz w:val="28"/>
          <w:szCs w:val="28"/>
        </w:rPr>
        <w:t>, khi ban hành nghị định</w:t>
      </w:r>
      <w:r w:rsidRPr="00FA7B2A">
        <w:rPr>
          <w:bCs/>
          <w:color w:val="17365D" w:themeColor="text2" w:themeShade="BF"/>
          <w:spacing w:val="4"/>
          <w:sz w:val="28"/>
          <w:szCs w:val="28"/>
        </w:rPr>
        <w:t xml:space="preserve"> có hai </w:t>
      </w:r>
      <w:r w:rsidR="008931D5" w:rsidRPr="00FA7B2A">
        <w:rPr>
          <w:bCs/>
          <w:color w:val="17365D" w:themeColor="text2" w:themeShade="BF"/>
          <w:spacing w:val="4"/>
          <w:sz w:val="28"/>
          <w:szCs w:val="28"/>
        </w:rPr>
        <w:t>trường hợp</w:t>
      </w:r>
      <w:r w:rsidRPr="00FA7B2A">
        <w:rPr>
          <w:bCs/>
          <w:color w:val="17365D" w:themeColor="text2" w:themeShade="BF"/>
          <w:spacing w:val="4"/>
          <w:sz w:val="28"/>
          <w:szCs w:val="28"/>
        </w:rPr>
        <w:t xml:space="preserve">: hoặc là </w:t>
      </w:r>
      <w:r w:rsidR="00910F9D" w:rsidRPr="00FA7B2A">
        <w:rPr>
          <w:bCs/>
          <w:color w:val="17365D" w:themeColor="text2" w:themeShade="BF"/>
          <w:spacing w:val="4"/>
          <w:sz w:val="28"/>
          <w:szCs w:val="28"/>
        </w:rPr>
        <w:t>nghị định ban hành</w:t>
      </w:r>
      <w:r w:rsidRPr="00FA7B2A">
        <w:rPr>
          <w:bCs/>
          <w:color w:val="17365D" w:themeColor="text2" w:themeShade="BF"/>
          <w:spacing w:val="4"/>
          <w:sz w:val="28"/>
          <w:szCs w:val="28"/>
        </w:rPr>
        <w:t xml:space="preserve"> sẽ bổ sung thêm các </w:t>
      </w:r>
      <w:r w:rsidR="00AE499F" w:rsidRPr="00FA7B2A">
        <w:rPr>
          <w:bCs/>
          <w:color w:val="17365D" w:themeColor="text2" w:themeShade="BF"/>
          <w:spacing w:val="4"/>
          <w:sz w:val="28"/>
          <w:szCs w:val="28"/>
        </w:rPr>
        <w:t xml:space="preserve">quy định chưa được </w:t>
      </w:r>
      <w:r w:rsidRPr="00FA7B2A">
        <w:rPr>
          <w:bCs/>
          <w:color w:val="17365D" w:themeColor="text2" w:themeShade="BF"/>
          <w:spacing w:val="4"/>
          <w:sz w:val="28"/>
          <w:szCs w:val="28"/>
        </w:rPr>
        <w:t xml:space="preserve">hướng dẫn này hoặc Chính phủ </w:t>
      </w:r>
      <w:r w:rsidR="00C42E19" w:rsidRPr="00FA7B2A">
        <w:rPr>
          <w:bCs/>
          <w:color w:val="17365D" w:themeColor="text2" w:themeShade="BF"/>
          <w:spacing w:val="4"/>
          <w:sz w:val="28"/>
          <w:szCs w:val="28"/>
        </w:rPr>
        <w:t xml:space="preserve">sẽ </w:t>
      </w:r>
      <w:r w:rsidRPr="00FA7B2A">
        <w:rPr>
          <w:bCs/>
          <w:color w:val="17365D" w:themeColor="text2" w:themeShade="BF"/>
          <w:spacing w:val="4"/>
          <w:sz w:val="28"/>
          <w:szCs w:val="28"/>
        </w:rPr>
        <w:t xml:space="preserve">ban hành một </w:t>
      </w:r>
      <w:r w:rsidR="00EC0F3A" w:rsidRPr="00FA7B2A">
        <w:rPr>
          <w:bCs/>
          <w:color w:val="17365D" w:themeColor="text2" w:themeShade="BF"/>
          <w:spacing w:val="4"/>
          <w:sz w:val="28"/>
          <w:szCs w:val="28"/>
        </w:rPr>
        <w:t xml:space="preserve">số </w:t>
      </w:r>
      <w:r w:rsidRPr="00FA7B2A">
        <w:rPr>
          <w:bCs/>
          <w:color w:val="17365D" w:themeColor="text2" w:themeShade="BF"/>
          <w:spacing w:val="4"/>
          <w:sz w:val="28"/>
          <w:szCs w:val="28"/>
        </w:rPr>
        <w:t>nghị định riêng cho các các nội dung này. Riêng đối với quy định về hợp tác, đầu tư nước ngoài trong lĩnh vực giáo dục đại học hiện nay đang thực hiện theo Nghị định số 86/2018/NĐ-CP.</w:t>
      </w:r>
    </w:p>
    <w:p w:rsidR="00095DEC" w:rsidRPr="00FA7B2A" w:rsidRDefault="00095DEC" w:rsidP="002D7AAB">
      <w:pPr>
        <w:tabs>
          <w:tab w:val="left" w:pos="142"/>
          <w:tab w:val="left" w:pos="851"/>
        </w:tabs>
        <w:spacing w:before="20" w:after="360"/>
        <w:ind w:firstLine="567"/>
        <w:jc w:val="both"/>
        <w:rPr>
          <w:bCs/>
          <w:color w:val="17365D" w:themeColor="text2" w:themeShade="BF"/>
          <w:spacing w:val="4"/>
          <w:sz w:val="28"/>
          <w:szCs w:val="28"/>
        </w:rPr>
      </w:pPr>
      <w:r w:rsidRPr="00FA7B2A">
        <w:rPr>
          <w:bCs/>
          <w:color w:val="17365D" w:themeColor="text2" w:themeShade="BF"/>
          <w:spacing w:val="4"/>
          <w:sz w:val="28"/>
          <w:szCs w:val="28"/>
        </w:rPr>
        <w:lastRenderedPageBreak/>
        <w:t>Qua các phân tích ở trên, thấy rằng nếu tận dụng được ưu điểm của các chính sách mới, các trường sẽ nhanh chóng phát triển. Do đó, mỗi trường cần chủ động chuẩn bị để kiện toàn về mặt tổ chức, cơ chế quản lý, nhân sự và điều chỉnh kế hoạch, chiến lược phát triển phù hợp với chính sách mới và đặc thù của từng đơn vị khi nghị định chính thức được ban hành./.</w:t>
      </w:r>
    </w:p>
    <w:p w:rsidR="00A561A4" w:rsidRPr="00FA7B2A" w:rsidRDefault="002D7AAB" w:rsidP="002D7AAB">
      <w:pPr>
        <w:jc w:val="right"/>
        <w:rPr>
          <w:sz w:val="26"/>
          <w:szCs w:val="26"/>
        </w:rPr>
      </w:pPr>
      <w:r w:rsidRPr="00FA7B2A">
        <w:rPr>
          <w:bCs/>
          <w:i/>
          <w:color w:val="17365D" w:themeColor="text2" w:themeShade="BF"/>
          <w:spacing w:val="4"/>
          <w:sz w:val="26"/>
          <w:szCs w:val="26"/>
        </w:rPr>
        <w:t>(Bộ phận Pháp chế, Phòng Thanh tra</w:t>
      </w:r>
      <w:r w:rsidR="00C44E56">
        <w:rPr>
          <w:bCs/>
          <w:i/>
          <w:color w:val="17365D" w:themeColor="text2" w:themeShade="BF"/>
          <w:spacing w:val="4"/>
          <w:sz w:val="26"/>
          <w:szCs w:val="26"/>
        </w:rPr>
        <w:t>, Trường Đại học Duy Tân</w:t>
      </w:r>
      <w:bookmarkStart w:id="0" w:name="_GoBack"/>
      <w:bookmarkEnd w:id="0"/>
      <w:r w:rsidRPr="00FA7B2A">
        <w:rPr>
          <w:bCs/>
          <w:i/>
          <w:color w:val="17365D" w:themeColor="text2" w:themeShade="BF"/>
          <w:spacing w:val="4"/>
          <w:sz w:val="26"/>
          <w:szCs w:val="26"/>
        </w:rPr>
        <w:t xml:space="preserve"> biên soạn)</w:t>
      </w:r>
    </w:p>
    <w:sectPr w:rsidR="00A561A4" w:rsidRPr="00FA7B2A" w:rsidSect="00E67B31">
      <w:pgSz w:w="12240" w:h="15840"/>
      <w:pgMar w:top="993" w:right="1276" w:bottom="851"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erpetu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D5204"/>
    <w:multiLevelType w:val="hybridMultilevel"/>
    <w:tmpl w:val="16484722"/>
    <w:lvl w:ilvl="0" w:tplc="5FEEABE8">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62DC67A9"/>
    <w:multiLevelType w:val="hybridMultilevel"/>
    <w:tmpl w:val="61F69F38"/>
    <w:lvl w:ilvl="0" w:tplc="D220B1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DC370A"/>
    <w:multiLevelType w:val="hybridMultilevel"/>
    <w:tmpl w:val="A3D0CC1C"/>
    <w:lvl w:ilvl="0" w:tplc="B28C48D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568"/>
    <w:rsid w:val="00095DEC"/>
    <w:rsid w:val="001D29E6"/>
    <w:rsid w:val="00231F4E"/>
    <w:rsid w:val="0027580A"/>
    <w:rsid w:val="002D7AAB"/>
    <w:rsid w:val="002E28E0"/>
    <w:rsid w:val="00342B85"/>
    <w:rsid w:val="003915AC"/>
    <w:rsid w:val="004A25FE"/>
    <w:rsid w:val="00575568"/>
    <w:rsid w:val="00576742"/>
    <w:rsid w:val="005E510E"/>
    <w:rsid w:val="00604858"/>
    <w:rsid w:val="00623F9D"/>
    <w:rsid w:val="00654CE8"/>
    <w:rsid w:val="008931D5"/>
    <w:rsid w:val="00910F9D"/>
    <w:rsid w:val="00A561A4"/>
    <w:rsid w:val="00AE499F"/>
    <w:rsid w:val="00B33E68"/>
    <w:rsid w:val="00B54E95"/>
    <w:rsid w:val="00BA416C"/>
    <w:rsid w:val="00C33D7E"/>
    <w:rsid w:val="00C36F28"/>
    <w:rsid w:val="00C42E19"/>
    <w:rsid w:val="00C44E56"/>
    <w:rsid w:val="00C8670C"/>
    <w:rsid w:val="00E90B13"/>
    <w:rsid w:val="00EC0F3A"/>
    <w:rsid w:val="00F0216C"/>
    <w:rsid w:val="00FA7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82F437-6B50-4B57-BC39-E85B95E3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D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095DEC"/>
    <w:pPr>
      <w:spacing w:before="100" w:beforeAutospacing="1" w:after="100" w:afterAutospacing="1" w:line="360" w:lineRule="atLeast"/>
      <w:ind w:firstLine="561"/>
      <w:jc w:val="both"/>
    </w:pPr>
    <w:rPr>
      <w:szCs w:val="20"/>
    </w:rPr>
  </w:style>
  <w:style w:type="paragraph" w:styleId="ListParagraph">
    <w:name w:val="List Paragraph"/>
    <w:basedOn w:val="Normal"/>
    <w:uiPriority w:val="99"/>
    <w:qFormat/>
    <w:rsid w:val="00095DEC"/>
    <w:pPr>
      <w:spacing w:after="200" w:line="276" w:lineRule="auto"/>
      <w:ind w:left="720"/>
      <w:contextualSpacing/>
    </w:pPr>
    <w:rPr>
      <w:rFonts w:ascii="Perpetua" w:hAnsi="Perpetua"/>
      <w:sz w:val="22"/>
      <w:szCs w:val="22"/>
      <w:lang w:val="en-AU" w:eastAsia="en-AU"/>
    </w:rPr>
  </w:style>
  <w:style w:type="character" w:customStyle="1" w:styleId="NormalWebChar">
    <w:name w:val="Normal (Web) Char"/>
    <w:link w:val="NormalWeb"/>
    <w:uiPriority w:val="99"/>
    <w:locked/>
    <w:rsid w:val="00095DE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1564</Words>
  <Characters>8919</Characters>
  <Application>Microsoft Office Word</Application>
  <DocSecurity>0</DocSecurity>
  <Lines>74</Lines>
  <Paragraphs>20</Paragraphs>
  <ScaleCrop>false</ScaleCrop>
  <Company/>
  <LinksUpToDate>false</LinksUpToDate>
  <CharactersWithSpaces>10463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Windows User</cp:lastModifiedBy>
  <cp:revision>47</cp:revision>
  <dcterms:created xsi:type="dcterms:W3CDTF">2019-11-21T07:39:00Z</dcterms:created>
  <dcterms:modified xsi:type="dcterms:W3CDTF">2019-11-25T00:58:00Z</dcterms:modified>
</cp:coreProperties>
</file>