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384" w:rsidRPr="00F421DC" w:rsidRDefault="00EC5357" w:rsidP="00F421DC">
      <w:pPr>
        <w:spacing w:after="120" w:line="240" w:lineRule="auto"/>
        <w:jc w:val="center"/>
        <w:outlineLvl w:val="0"/>
        <w:rPr>
          <w:rFonts w:eastAsia="Times New Roman" w:cs="Times New Roman"/>
          <w:b/>
          <w:sz w:val="28"/>
          <w:szCs w:val="28"/>
        </w:rPr>
      </w:pPr>
      <w:r w:rsidRPr="00F421DC">
        <w:rPr>
          <w:rFonts w:eastAsia="Times New Roman" w:cs="Times New Roman"/>
          <w:b/>
          <w:sz w:val="28"/>
          <w:szCs w:val="28"/>
        </w:rPr>
        <w:t xml:space="preserve">PHÁT TRIỂN HỆ THỐNG ĐẠI </w:t>
      </w:r>
      <w:r w:rsidR="009A308D" w:rsidRPr="00F421DC">
        <w:rPr>
          <w:rFonts w:eastAsia="Times New Roman" w:cs="Times New Roman"/>
          <w:b/>
          <w:sz w:val="28"/>
          <w:szCs w:val="28"/>
        </w:rPr>
        <w:t>HỌC TƯ THỤC</w:t>
      </w:r>
      <w:r w:rsidR="00BA7A7E" w:rsidRPr="00F421DC">
        <w:rPr>
          <w:rFonts w:eastAsia="Times New Roman" w:cs="Times New Roman"/>
          <w:b/>
          <w:sz w:val="28"/>
          <w:szCs w:val="28"/>
        </w:rPr>
        <w:t xml:space="preserve"> </w:t>
      </w:r>
      <w:r w:rsidR="009A308D" w:rsidRPr="00F421DC">
        <w:rPr>
          <w:rFonts w:eastAsia="Times New Roman" w:cs="Times New Roman"/>
          <w:b/>
          <w:sz w:val="28"/>
          <w:szCs w:val="28"/>
        </w:rPr>
        <w:t xml:space="preserve"> </w:t>
      </w:r>
      <w:r w:rsidRPr="00F421DC">
        <w:rPr>
          <w:rFonts w:eastAsia="Times New Roman" w:cs="Times New Roman"/>
          <w:b/>
          <w:sz w:val="28"/>
          <w:szCs w:val="28"/>
        </w:rPr>
        <w:t xml:space="preserve">ĐÁP ỨNG YÊU CẦU </w:t>
      </w:r>
      <w:r w:rsidR="006C7376" w:rsidRPr="00F421DC">
        <w:rPr>
          <w:rFonts w:eastAsia="Times New Roman" w:cs="Times New Roman"/>
          <w:b/>
          <w:sz w:val="28"/>
          <w:szCs w:val="28"/>
        </w:rPr>
        <w:t>ĐỔI MỚI CĂN BẢN, TOÀN DIỆN GIÁO DỤC ĐẠI HỌC VIỆT NAM</w:t>
      </w:r>
    </w:p>
    <w:p w:rsidR="00685DE6" w:rsidRPr="00F421DC" w:rsidRDefault="0005423E" w:rsidP="00F421DC">
      <w:pPr>
        <w:spacing w:after="120" w:line="240" w:lineRule="auto"/>
        <w:jc w:val="center"/>
        <w:outlineLvl w:val="0"/>
        <w:rPr>
          <w:rFonts w:eastAsia="Times New Roman" w:cs="Times New Roman"/>
          <w:b/>
          <w:sz w:val="28"/>
          <w:szCs w:val="28"/>
        </w:rPr>
      </w:pPr>
      <w:r w:rsidRPr="00F421DC">
        <w:rPr>
          <w:rFonts w:eastAsia="Times New Roman" w:cs="Times New Roman"/>
          <w:b/>
          <w:noProof/>
          <w:sz w:val="28"/>
          <w:szCs w:val="28"/>
        </w:rPr>
        <mc:AlternateContent>
          <mc:Choice Requires="wps">
            <w:drawing>
              <wp:anchor distT="0" distB="0" distL="114300" distR="114300" simplePos="0" relativeHeight="251659264" behindDoc="0" locked="0" layoutInCell="1" allowOverlap="1" wp14:anchorId="6F1703F3" wp14:editId="60FF6AB3">
                <wp:simplePos x="0" y="0"/>
                <wp:positionH relativeFrom="column">
                  <wp:posOffset>2270760</wp:posOffset>
                </wp:positionH>
                <wp:positionV relativeFrom="paragraph">
                  <wp:posOffset>518795</wp:posOffset>
                </wp:positionV>
                <wp:extent cx="1517650"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151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573A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8pt,40.85pt" to="298.3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" strokecolor="black [3200]" strokeweight=".5pt">
                <v:stroke joinstyle="miter"/>
              </v:line>
            </w:pict>
          </mc:Fallback>
        </mc:AlternateContent>
      </w:r>
      <w:r w:rsidR="00685DE6" w:rsidRPr="00F421DC">
        <w:rPr>
          <w:rFonts w:eastAsia="Times New Roman" w:cs="Times New Roman"/>
          <w:b/>
          <w:sz w:val="28"/>
          <w:szCs w:val="28"/>
        </w:rPr>
        <w:t>(</w:t>
      </w:r>
      <w:r w:rsidRPr="00F421DC">
        <w:rPr>
          <w:rFonts w:eastAsia="Times New Roman" w:cs="Times New Roman"/>
          <w:b/>
          <w:sz w:val="28"/>
          <w:szCs w:val="28"/>
        </w:rPr>
        <w:t xml:space="preserve">Developing </w:t>
      </w:r>
      <w:r w:rsidR="00685DE6" w:rsidRPr="00F421DC">
        <w:rPr>
          <w:rFonts w:eastAsia="Times New Roman" w:cs="Times New Roman"/>
          <w:b/>
          <w:sz w:val="28"/>
          <w:szCs w:val="28"/>
        </w:rPr>
        <w:t>private universit</w:t>
      </w:r>
      <w:r w:rsidRPr="00F421DC">
        <w:rPr>
          <w:rFonts w:eastAsia="Times New Roman" w:cs="Times New Roman"/>
          <w:b/>
          <w:sz w:val="28"/>
          <w:szCs w:val="28"/>
        </w:rPr>
        <w:t>y</w:t>
      </w:r>
      <w:r w:rsidR="00685DE6" w:rsidRPr="00F421DC">
        <w:rPr>
          <w:rFonts w:eastAsia="Times New Roman" w:cs="Times New Roman"/>
          <w:b/>
          <w:sz w:val="28"/>
          <w:szCs w:val="28"/>
        </w:rPr>
        <w:t xml:space="preserve"> system to meet the requirements of </w:t>
      </w:r>
      <w:r w:rsidRPr="00F421DC">
        <w:rPr>
          <w:rFonts w:eastAsia="Times New Roman" w:cs="Times New Roman"/>
          <w:b/>
          <w:sz w:val="28"/>
          <w:szCs w:val="28"/>
        </w:rPr>
        <w:t xml:space="preserve">the </w:t>
      </w:r>
      <w:r w:rsidR="00685DE6" w:rsidRPr="00F421DC">
        <w:rPr>
          <w:rFonts w:eastAsia="Times New Roman" w:cs="Times New Roman"/>
          <w:b/>
          <w:sz w:val="28"/>
          <w:szCs w:val="28"/>
        </w:rPr>
        <w:t>fundamental and comprehensive reform of Vienamese higher education)</w:t>
      </w:r>
    </w:p>
    <w:p w:rsidR="00C31E43" w:rsidRPr="00F421DC" w:rsidRDefault="00C31E43" w:rsidP="00F421DC">
      <w:pPr>
        <w:spacing w:after="120" w:line="240" w:lineRule="auto"/>
        <w:ind w:firstLine="709"/>
        <w:jc w:val="right"/>
        <w:outlineLvl w:val="0"/>
        <w:rPr>
          <w:rFonts w:eastAsia="Times New Roman" w:cs="Times New Roman"/>
          <w:b/>
          <w:i/>
          <w:sz w:val="28"/>
          <w:szCs w:val="28"/>
        </w:rPr>
      </w:pPr>
    </w:p>
    <w:p w:rsidR="008610ED" w:rsidRPr="00F421DC" w:rsidRDefault="008610ED" w:rsidP="00F421DC">
      <w:pPr>
        <w:spacing w:after="120" w:line="240" w:lineRule="auto"/>
        <w:ind w:firstLine="709"/>
        <w:jc w:val="right"/>
        <w:outlineLvl w:val="0"/>
        <w:rPr>
          <w:rFonts w:eastAsia="Times New Roman" w:cs="Times New Roman"/>
          <w:b/>
          <w:i/>
          <w:sz w:val="28"/>
          <w:szCs w:val="28"/>
        </w:rPr>
      </w:pPr>
      <w:r w:rsidRPr="00F421DC">
        <w:rPr>
          <w:rFonts w:eastAsia="Times New Roman" w:cs="Times New Roman"/>
          <w:b/>
          <w:i/>
          <w:sz w:val="28"/>
          <w:szCs w:val="28"/>
        </w:rPr>
        <w:t>TS. Trần Văn Hùng</w:t>
      </w:r>
      <w:r w:rsidR="00D956CE" w:rsidRPr="00F421DC">
        <w:rPr>
          <w:rFonts w:eastAsia="Times New Roman" w:cs="Times New Roman"/>
          <w:b/>
          <w:i/>
          <w:sz w:val="28"/>
          <w:szCs w:val="28"/>
        </w:rPr>
        <w:t>, Trường Đại học Duy Tân</w:t>
      </w:r>
    </w:p>
    <w:p w:rsidR="00EA4271" w:rsidRDefault="00EA4271" w:rsidP="00F421DC">
      <w:pPr>
        <w:spacing w:after="120" w:line="240" w:lineRule="auto"/>
        <w:ind w:firstLine="709"/>
        <w:outlineLvl w:val="0"/>
        <w:rPr>
          <w:rFonts w:eastAsia="Times New Roman" w:cs="Times New Roman"/>
          <w:b/>
          <w:sz w:val="28"/>
          <w:szCs w:val="28"/>
        </w:rPr>
      </w:pPr>
    </w:p>
    <w:p w:rsidR="008610ED" w:rsidRPr="00F421DC" w:rsidRDefault="00535140" w:rsidP="00F421DC">
      <w:pPr>
        <w:spacing w:after="120" w:line="240" w:lineRule="auto"/>
        <w:ind w:firstLine="709"/>
        <w:outlineLvl w:val="0"/>
        <w:rPr>
          <w:rFonts w:eastAsia="Times New Roman" w:cs="Times New Roman"/>
          <w:b/>
          <w:sz w:val="28"/>
          <w:szCs w:val="28"/>
        </w:rPr>
      </w:pPr>
      <w:r w:rsidRPr="00F421DC">
        <w:rPr>
          <w:rFonts w:eastAsia="Times New Roman" w:cs="Times New Roman"/>
          <w:b/>
          <w:sz w:val="28"/>
          <w:szCs w:val="28"/>
        </w:rPr>
        <w:t>Tóm tắt.</w:t>
      </w:r>
      <w:r w:rsidR="00685DE6" w:rsidRPr="00F421DC">
        <w:rPr>
          <w:rFonts w:eastAsia="Times New Roman" w:cs="Times New Roman"/>
          <w:b/>
          <w:sz w:val="28"/>
          <w:szCs w:val="28"/>
        </w:rPr>
        <w:t xml:space="preserve"> </w:t>
      </w:r>
    </w:p>
    <w:p w:rsidR="00535140" w:rsidRPr="00F421DC" w:rsidRDefault="00535140" w:rsidP="00F421DC">
      <w:pPr>
        <w:spacing w:after="120" w:line="240" w:lineRule="auto"/>
        <w:ind w:firstLine="709"/>
        <w:jc w:val="both"/>
        <w:outlineLvl w:val="0"/>
        <w:rPr>
          <w:rFonts w:eastAsia="Times New Roman" w:cs="Times New Roman"/>
          <w:sz w:val="28"/>
          <w:szCs w:val="28"/>
        </w:rPr>
      </w:pPr>
      <w:r w:rsidRPr="00F421DC">
        <w:rPr>
          <w:rFonts w:eastAsia="Times New Roman" w:cs="Times New Roman"/>
          <w:sz w:val="28"/>
          <w:szCs w:val="28"/>
        </w:rPr>
        <w:t xml:space="preserve">Hệ thống đại học tư thục ngày càng có nhiều đóng góp </w:t>
      </w:r>
      <w:r w:rsidR="00D269C4" w:rsidRPr="00F421DC">
        <w:rPr>
          <w:rFonts w:eastAsia="Times New Roman" w:cs="Times New Roman"/>
          <w:sz w:val="28"/>
          <w:szCs w:val="28"/>
        </w:rPr>
        <w:t xml:space="preserve">quan trọng </w:t>
      </w:r>
      <w:r w:rsidRPr="00F421DC">
        <w:rPr>
          <w:rFonts w:eastAsia="Times New Roman" w:cs="Times New Roman"/>
          <w:sz w:val="28"/>
          <w:szCs w:val="28"/>
        </w:rPr>
        <w:t xml:space="preserve">cho sự phát triển của </w:t>
      </w:r>
      <w:r w:rsidR="00D269C4" w:rsidRPr="00F421DC">
        <w:rPr>
          <w:rFonts w:eastAsia="Times New Roman" w:cs="Times New Roman"/>
          <w:sz w:val="28"/>
          <w:szCs w:val="28"/>
        </w:rPr>
        <w:t xml:space="preserve">giáo dục đại học </w:t>
      </w:r>
      <w:r w:rsidRPr="00F421DC">
        <w:rPr>
          <w:rFonts w:eastAsia="Times New Roman" w:cs="Times New Roman"/>
          <w:sz w:val="28"/>
          <w:szCs w:val="28"/>
        </w:rPr>
        <w:t xml:space="preserve">Việt Nam. </w:t>
      </w:r>
      <w:r w:rsidR="00D269C4" w:rsidRPr="00F421DC">
        <w:rPr>
          <w:rFonts w:eastAsia="Times New Roman" w:cs="Times New Roman"/>
          <w:sz w:val="28"/>
          <w:szCs w:val="28"/>
        </w:rPr>
        <w:t xml:space="preserve">Do đó, </w:t>
      </w:r>
      <w:r w:rsidRPr="00F421DC">
        <w:rPr>
          <w:rFonts w:eastAsia="Times New Roman" w:cs="Times New Roman"/>
          <w:sz w:val="28"/>
          <w:szCs w:val="28"/>
        </w:rPr>
        <w:t xml:space="preserve">phát triển hệ thống </w:t>
      </w:r>
      <w:r w:rsidR="00D269C4" w:rsidRPr="00F421DC">
        <w:rPr>
          <w:rFonts w:eastAsia="Times New Roman" w:cs="Times New Roman"/>
          <w:sz w:val="28"/>
          <w:szCs w:val="28"/>
        </w:rPr>
        <w:t>đại học tư thục là yêu cầu cấp thiết nhằm nâng cao vị thế của giáo dục đại học Việt Nam</w:t>
      </w:r>
      <w:r w:rsidRPr="00F421DC">
        <w:rPr>
          <w:rFonts w:eastAsia="Times New Roman" w:cs="Times New Roman"/>
          <w:sz w:val="28"/>
          <w:szCs w:val="28"/>
        </w:rPr>
        <w:t xml:space="preserve">, đáp ứng yêu cầu của đổi mới căn bản, toàn diện </w:t>
      </w:r>
      <w:r w:rsidR="00D269C4" w:rsidRPr="00F421DC">
        <w:rPr>
          <w:rFonts w:eastAsia="Times New Roman" w:cs="Times New Roman"/>
          <w:sz w:val="28"/>
          <w:szCs w:val="28"/>
        </w:rPr>
        <w:t>giáo dục và đào tạo</w:t>
      </w:r>
      <w:r w:rsidRPr="00F421DC">
        <w:rPr>
          <w:rFonts w:eastAsia="Times New Roman" w:cs="Times New Roman"/>
          <w:sz w:val="28"/>
          <w:szCs w:val="28"/>
        </w:rPr>
        <w:t xml:space="preserve"> trong bối cảnh </w:t>
      </w:r>
      <w:r w:rsidR="00D269C4" w:rsidRPr="00F421DC">
        <w:rPr>
          <w:rFonts w:eastAsia="Times New Roman" w:cs="Times New Roman"/>
          <w:sz w:val="28"/>
          <w:szCs w:val="28"/>
        </w:rPr>
        <w:t xml:space="preserve">hội nhập và cạnh tranh giáo dục </w:t>
      </w:r>
      <w:r w:rsidR="00BA1853" w:rsidRPr="00F421DC">
        <w:rPr>
          <w:rFonts w:eastAsia="Times New Roman" w:cs="Times New Roman"/>
          <w:sz w:val="28"/>
          <w:szCs w:val="28"/>
        </w:rPr>
        <w:t>đại học quốc tế</w:t>
      </w:r>
      <w:r w:rsidR="00D269C4" w:rsidRPr="00F421DC">
        <w:rPr>
          <w:rFonts w:eastAsia="Times New Roman" w:cs="Times New Roman"/>
          <w:sz w:val="28"/>
          <w:szCs w:val="28"/>
        </w:rPr>
        <w:t xml:space="preserve"> ngày càng sâu sắc. Bài báo này đề xuất </w:t>
      </w:r>
      <w:r w:rsidR="00F66CAE">
        <w:rPr>
          <w:rFonts w:eastAsia="Times New Roman" w:cs="Times New Roman"/>
          <w:sz w:val="28"/>
          <w:szCs w:val="28"/>
        </w:rPr>
        <w:t>năm</w:t>
      </w:r>
      <w:r w:rsidR="00D269C4" w:rsidRPr="00F421DC">
        <w:rPr>
          <w:rFonts w:eastAsia="Times New Roman" w:cs="Times New Roman"/>
          <w:sz w:val="28"/>
          <w:szCs w:val="28"/>
        </w:rPr>
        <w:t xml:space="preserve"> giải pháp cơ bản để phát triển hệ thống đại học tư thục Việt Nam.</w:t>
      </w:r>
    </w:p>
    <w:p w:rsidR="00762273" w:rsidRPr="00F421DC" w:rsidRDefault="00762273" w:rsidP="00F421DC">
      <w:pPr>
        <w:spacing w:after="120" w:line="240" w:lineRule="auto"/>
        <w:ind w:firstLine="709"/>
        <w:jc w:val="both"/>
        <w:outlineLvl w:val="0"/>
        <w:rPr>
          <w:rFonts w:eastAsia="Times New Roman" w:cs="Times New Roman"/>
          <w:i/>
          <w:sz w:val="28"/>
          <w:szCs w:val="28"/>
        </w:rPr>
      </w:pPr>
      <w:r w:rsidRPr="00F421DC">
        <w:rPr>
          <w:rFonts w:eastAsia="Times New Roman" w:cs="Times New Roman"/>
          <w:i/>
          <w:sz w:val="28"/>
          <w:szCs w:val="28"/>
        </w:rPr>
        <w:t>Từ khóa: giải pháp, phát triển, hệ thống đại học tư thục</w:t>
      </w:r>
    </w:p>
    <w:p w:rsidR="00EA4271" w:rsidRPr="00EA4271" w:rsidRDefault="00D1497C" w:rsidP="00F421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b/>
          <w:color w:val="000000"/>
          <w:sz w:val="28"/>
          <w:szCs w:val="28"/>
          <w:lang w:val="en"/>
        </w:rPr>
      </w:pPr>
      <w:r w:rsidRPr="00F421DC">
        <w:rPr>
          <w:rFonts w:eastAsia="Times New Roman" w:cs="Times New Roman"/>
          <w:color w:val="000000"/>
          <w:sz w:val="28"/>
          <w:szCs w:val="28"/>
          <w:lang w:val="en"/>
        </w:rPr>
        <w:tab/>
      </w:r>
      <w:r w:rsidR="00EA4271" w:rsidRPr="00EA4271">
        <w:rPr>
          <w:rFonts w:eastAsia="Times New Roman" w:cs="Times New Roman"/>
          <w:b/>
          <w:color w:val="000000"/>
          <w:sz w:val="28"/>
          <w:szCs w:val="28"/>
          <w:lang w:val="en"/>
        </w:rPr>
        <w:t>Abstract.</w:t>
      </w:r>
    </w:p>
    <w:p w:rsidR="00D1497C" w:rsidRPr="00F421DC" w:rsidRDefault="00EA4271" w:rsidP="00F421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color w:val="000000"/>
          <w:sz w:val="28"/>
          <w:szCs w:val="28"/>
          <w:lang w:val="en"/>
        </w:rPr>
      </w:pPr>
      <w:r>
        <w:rPr>
          <w:rFonts w:eastAsia="Times New Roman" w:cs="Times New Roman"/>
          <w:color w:val="000000"/>
          <w:sz w:val="28"/>
          <w:szCs w:val="28"/>
          <w:lang w:val="en"/>
        </w:rPr>
        <w:tab/>
      </w:r>
      <w:r w:rsidR="00D1497C" w:rsidRPr="00F421DC">
        <w:rPr>
          <w:rFonts w:eastAsia="Times New Roman" w:cs="Times New Roman"/>
          <w:color w:val="000000"/>
          <w:sz w:val="28"/>
          <w:szCs w:val="28"/>
          <w:lang w:val="en"/>
        </w:rPr>
        <w:t xml:space="preserve">The private university system is increasingly making important contributions to the development of Vietnamese higher education. Therefore, the development of </w:t>
      </w:r>
      <w:r w:rsidR="00BA1853" w:rsidRPr="00F421DC">
        <w:rPr>
          <w:rFonts w:eastAsia="Times New Roman" w:cs="Times New Roman"/>
          <w:color w:val="000000"/>
          <w:sz w:val="28"/>
          <w:szCs w:val="28"/>
          <w:lang w:val="en"/>
        </w:rPr>
        <w:t xml:space="preserve">this </w:t>
      </w:r>
      <w:r w:rsidR="00D1497C" w:rsidRPr="00F421DC">
        <w:rPr>
          <w:rFonts w:eastAsia="Times New Roman" w:cs="Times New Roman"/>
          <w:color w:val="000000"/>
          <w:sz w:val="28"/>
          <w:szCs w:val="28"/>
          <w:lang w:val="en"/>
        </w:rPr>
        <w:t>system is an urgent requirement to enhance the position of Vietnamese higher education</w:t>
      </w:r>
      <w:r w:rsidR="00BA1853" w:rsidRPr="00F421DC">
        <w:rPr>
          <w:rFonts w:eastAsia="Times New Roman" w:cs="Times New Roman"/>
          <w:color w:val="000000"/>
          <w:sz w:val="28"/>
          <w:szCs w:val="28"/>
          <w:lang w:val="en"/>
        </w:rPr>
        <w:t xml:space="preserve"> in the world</w:t>
      </w:r>
      <w:r w:rsidR="00D1497C" w:rsidRPr="00F421DC">
        <w:rPr>
          <w:rFonts w:eastAsia="Times New Roman" w:cs="Times New Roman"/>
          <w:color w:val="000000"/>
          <w:sz w:val="28"/>
          <w:szCs w:val="28"/>
          <w:lang w:val="en"/>
        </w:rPr>
        <w:t xml:space="preserve">, </w:t>
      </w:r>
      <w:r w:rsidR="001055DB" w:rsidRPr="00F421DC">
        <w:rPr>
          <w:rFonts w:eastAsia="Times New Roman" w:cs="Times New Roman"/>
          <w:color w:val="000000"/>
          <w:sz w:val="28"/>
          <w:szCs w:val="28"/>
          <w:lang w:val="en"/>
        </w:rPr>
        <w:t xml:space="preserve">to meet </w:t>
      </w:r>
      <w:r w:rsidR="00D1497C" w:rsidRPr="00F421DC">
        <w:rPr>
          <w:rFonts w:eastAsia="Times New Roman" w:cs="Times New Roman"/>
          <w:color w:val="000000"/>
          <w:sz w:val="28"/>
          <w:szCs w:val="28"/>
          <w:lang w:val="en"/>
        </w:rPr>
        <w:t xml:space="preserve">the requirements of </w:t>
      </w:r>
      <w:r w:rsidR="001055DB" w:rsidRPr="00F421DC">
        <w:rPr>
          <w:rFonts w:eastAsia="Times New Roman" w:cs="Times New Roman"/>
          <w:color w:val="000000"/>
          <w:sz w:val="28"/>
          <w:szCs w:val="28"/>
          <w:lang w:val="en"/>
        </w:rPr>
        <w:t xml:space="preserve">the </w:t>
      </w:r>
      <w:r w:rsidR="00D1497C" w:rsidRPr="00F421DC">
        <w:rPr>
          <w:rFonts w:eastAsia="Times New Roman" w:cs="Times New Roman"/>
          <w:color w:val="000000"/>
          <w:sz w:val="28"/>
          <w:szCs w:val="28"/>
          <w:lang w:val="en"/>
        </w:rPr>
        <w:t xml:space="preserve">fundamental and comprehensive </w:t>
      </w:r>
      <w:r w:rsidR="00BA1853" w:rsidRPr="00F421DC">
        <w:rPr>
          <w:rFonts w:eastAsia="Times New Roman" w:cs="Times New Roman"/>
          <w:color w:val="000000"/>
          <w:sz w:val="28"/>
          <w:szCs w:val="28"/>
          <w:lang w:val="en"/>
        </w:rPr>
        <w:t>reform</w:t>
      </w:r>
      <w:r w:rsidR="00D1497C" w:rsidRPr="00F421DC">
        <w:rPr>
          <w:rFonts w:eastAsia="Times New Roman" w:cs="Times New Roman"/>
          <w:color w:val="000000"/>
          <w:sz w:val="28"/>
          <w:szCs w:val="28"/>
          <w:lang w:val="en"/>
        </w:rPr>
        <w:t xml:space="preserve"> of education and training in the context of </w:t>
      </w:r>
      <w:r w:rsidR="00BA1853" w:rsidRPr="00F421DC">
        <w:rPr>
          <w:rFonts w:eastAsia="Times New Roman" w:cs="Times New Roman"/>
          <w:color w:val="000000"/>
          <w:sz w:val="28"/>
          <w:szCs w:val="28"/>
          <w:lang w:val="en"/>
        </w:rPr>
        <w:t xml:space="preserve"> international integration and competition in higher education, which is becoming more and more profound</w:t>
      </w:r>
      <w:r w:rsidR="00D1497C" w:rsidRPr="00F421DC">
        <w:rPr>
          <w:rFonts w:eastAsia="Times New Roman" w:cs="Times New Roman"/>
          <w:color w:val="000000"/>
          <w:sz w:val="28"/>
          <w:szCs w:val="28"/>
          <w:lang w:val="en"/>
        </w:rPr>
        <w:t xml:space="preserve">. This </w:t>
      </w:r>
      <w:r w:rsidR="00BA1853" w:rsidRPr="00F421DC">
        <w:rPr>
          <w:rFonts w:eastAsia="Times New Roman" w:cs="Times New Roman"/>
          <w:color w:val="000000"/>
          <w:sz w:val="28"/>
          <w:szCs w:val="28"/>
          <w:lang w:val="en"/>
        </w:rPr>
        <w:t>article</w:t>
      </w:r>
      <w:r w:rsidR="00D1497C" w:rsidRPr="00F421DC">
        <w:rPr>
          <w:rFonts w:eastAsia="Times New Roman" w:cs="Times New Roman"/>
          <w:color w:val="000000"/>
          <w:sz w:val="28"/>
          <w:szCs w:val="28"/>
          <w:lang w:val="en"/>
        </w:rPr>
        <w:t xml:space="preserve"> proposes </w:t>
      </w:r>
      <w:r w:rsidR="00F66CAE">
        <w:rPr>
          <w:rFonts w:eastAsia="Times New Roman" w:cs="Times New Roman"/>
          <w:color w:val="000000"/>
          <w:sz w:val="28"/>
          <w:szCs w:val="28"/>
          <w:lang w:val="en"/>
        </w:rPr>
        <w:t>five</w:t>
      </w:r>
      <w:r w:rsidR="00D1497C" w:rsidRPr="00F421DC">
        <w:rPr>
          <w:rFonts w:eastAsia="Times New Roman" w:cs="Times New Roman"/>
          <w:color w:val="000000"/>
          <w:sz w:val="28"/>
          <w:szCs w:val="28"/>
          <w:lang w:val="en"/>
        </w:rPr>
        <w:t xml:space="preserve"> basic solutions for developing Viet</w:t>
      </w:r>
      <w:r w:rsidR="00BA1853" w:rsidRPr="00F421DC">
        <w:rPr>
          <w:rFonts w:eastAsia="Times New Roman" w:cs="Times New Roman"/>
          <w:color w:val="000000"/>
          <w:sz w:val="28"/>
          <w:szCs w:val="28"/>
          <w:lang w:val="en"/>
        </w:rPr>
        <w:t xml:space="preserve">nam’s private </w:t>
      </w:r>
      <w:r w:rsidR="00D1497C" w:rsidRPr="00F421DC">
        <w:rPr>
          <w:rFonts w:eastAsia="Times New Roman" w:cs="Times New Roman"/>
          <w:color w:val="000000"/>
          <w:sz w:val="28"/>
          <w:szCs w:val="28"/>
          <w:lang w:val="en"/>
        </w:rPr>
        <w:t>university system.</w:t>
      </w:r>
    </w:p>
    <w:p w:rsidR="00762273" w:rsidRPr="00F421DC" w:rsidRDefault="00762273" w:rsidP="00F421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i/>
          <w:color w:val="000000"/>
          <w:sz w:val="28"/>
          <w:szCs w:val="28"/>
        </w:rPr>
      </w:pPr>
      <w:r w:rsidRPr="00F421DC">
        <w:rPr>
          <w:rFonts w:eastAsia="Times New Roman" w:cs="Times New Roman"/>
          <w:i/>
          <w:color w:val="000000"/>
          <w:sz w:val="28"/>
          <w:szCs w:val="28"/>
          <w:lang w:val="en"/>
        </w:rPr>
        <w:tab/>
        <w:t xml:space="preserve">Key words: solutions, development, </w:t>
      </w:r>
      <w:r w:rsidRPr="00F421DC">
        <w:rPr>
          <w:rFonts w:eastAsia="Times New Roman" w:cs="Times New Roman"/>
          <w:i/>
          <w:sz w:val="28"/>
          <w:szCs w:val="28"/>
        </w:rPr>
        <w:t>private university system</w:t>
      </w:r>
    </w:p>
    <w:p w:rsidR="00EA4271" w:rsidRDefault="00EA4271" w:rsidP="00F421DC">
      <w:pPr>
        <w:tabs>
          <w:tab w:val="center" w:pos="5092"/>
        </w:tabs>
        <w:spacing w:after="120" w:line="240" w:lineRule="auto"/>
        <w:ind w:firstLine="709"/>
        <w:jc w:val="both"/>
        <w:rPr>
          <w:rFonts w:cs="Times New Roman"/>
          <w:b/>
          <w:sz w:val="28"/>
          <w:szCs w:val="28"/>
        </w:rPr>
      </w:pPr>
      <w:bookmarkStart w:id="0" w:name="_Toc497137941"/>
    </w:p>
    <w:p w:rsidR="003A7390" w:rsidRPr="00F421DC" w:rsidRDefault="003A7390" w:rsidP="00F421DC">
      <w:pPr>
        <w:tabs>
          <w:tab w:val="center" w:pos="5092"/>
        </w:tabs>
        <w:spacing w:after="120" w:line="240" w:lineRule="auto"/>
        <w:ind w:firstLine="709"/>
        <w:jc w:val="both"/>
        <w:rPr>
          <w:rFonts w:cs="Times New Roman"/>
          <w:b/>
          <w:sz w:val="28"/>
          <w:szCs w:val="28"/>
        </w:rPr>
      </w:pPr>
      <w:r w:rsidRPr="00F421DC">
        <w:rPr>
          <w:rFonts w:cs="Times New Roman"/>
          <w:b/>
          <w:sz w:val="28"/>
          <w:szCs w:val="28"/>
        </w:rPr>
        <w:t>1. Mở đầu</w:t>
      </w:r>
      <w:r w:rsidR="00D1497C" w:rsidRPr="00F421DC">
        <w:rPr>
          <w:rFonts w:cs="Times New Roman"/>
          <w:b/>
          <w:sz w:val="28"/>
          <w:szCs w:val="28"/>
        </w:rPr>
        <w:tab/>
      </w:r>
    </w:p>
    <w:p w:rsidR="00FB7CA8" w:rsidRPr="00F421DC" w:rsidRDefault="00FB7CA8" w:rsidP="00F421DC">
      <w:pPr>
        <w:spacing w:after="120" w:line="240" w:lineRule="auto"/>
        <w:ind w:firstLine="709"/>
        <w:jc w:val="both"/>
        <w:outlineLvl w:val="0"/>
        <w:rPr>
          <w:rFonts w:eastAsia="Times New Roman" w:cs="Times New Roman"/>
          <w:sz w:val="28"/>
          <w:szCs w:val="28"/>
        </w:rPr>
      </w:pPr>
      <w:r w:rsidRPr="00F421DC">
        <w:rPr>
          <w:rFonts w:eastAsia="Times New Roman" w:cs="Times New Roman"/>
          <w:sz w:val="28"/>
          <w:szCs w:val="28"/>
        </w:rPr>
        <w:t xml:space="preserve">Năm 2019 đánh dấu ¼ thế kỷ hình thành và phát triển của hệ thống đại học (ĐH) ngoài công lập Việt Nam sau năm 1975 (năm 1994, Thủ tướng Chính phủ cho phép thành lập 05 trường </w:t>
      </w:r>
      <w:r w:rsidR="00730501" w:rsidRPr="00F421DC">
        <w:rPr>
          <w:rFonts w:eastAsia="Times New Roman" w:cs="Times New Roman"/>
          <w:sz w:val="28"/>
          <w:szCs w:val="28"/>
        </w:rPr>
        <w:t xml:space="preserve">ĐH ngoài công lập </w:t>
      </w:r>
      <w:r w:rsidRPr="00F421DC">
        <w:rPr>
          <w:rFonts w:eastAsia="Times New Roman" w:cs="Times New Roman"/>
          <w:sz w:val="28"/>
          <w:szCs w:val="28"/>
        </w:rPr>
        <w:t>đầu tiên của Việt</w:t>
      </w:r>
      <w:r w:rsidR="00730501" w:rsidRPr="00F421DC">
        <w:rPr>
          <w:rFonts w:eastAsia="Times New Roman" w:cs="Times New Roman"/>
          <w:sz w:val="28"/>
          <w:szCs w:val="28"/>
        </w:rPr>
        <w:t xml:space="preserve"> Nam với tên gọi ĐH dân lập; hiện</w:t>
      </w:r>
      <w:r w:rsidRPr="00F421DC">
        <w:rPr>
          <w:rFonts w:eastAsia="Times New Roman" w:cs="Times New Roman"/>
          <w:sz w:val="28"/>
          <w:szCs w:val="28"/>
        </w:rPr>
        <w:t xml:space="preserve"> nay</w:t>
      </w:r>
      <w:r w:rsidR="00730501" w:rsidRPr="00F421DC">
        <w:rPr>
          <w:rFonts w:eastAsia="Times New Roman" w:cs="Times New Roman"/>
          <w:sz w:val="28"/>
          <w:szCs w:val="28"/>
        </w:rPr>
        <w:t>, Việt Nam</w:t>
      </w:r>
      <w:r w:rsidRPr="00F421DC">
        <w:rPr>
          <w:rFonts w:eastAsia="Times New Roman" w:cs="Times New Roman"/>
          <w:sz w:val="28"/>
          <w:szCs w:val="28"/>
        </w:rPr>
        <w:t xml:space="preserve"> có 60 trường gồm 52 trường ĐH tư thục và 08 trường ĐH dân lập đang trong quá trình chuyển đổi</w:t>
      </w:r>
      <w:r w:rsidR="00096260" w:rsidRPr="00F421DC">
        <w:rPr>
          <w:rFonts w:eastAsia="Times New Roman" w:cs="Times New Roman"/>
          <w:sz w:val="28"/>
          <w:szCs w:val="28"/>
        </w:rPr>
        <w:t>, sau đây gọi chung là các trường ĐH tư thục (ĐHTT</w:t>
      </w:r>
      <w:r w:rsidRPr="00F421DC">
        <w:rPr>
          <w:rFonts w:eastAsia="Times New Roman" w:cs="Times New Roman"/>
          <w:sz w:val="28"/>
          <w:szCs w:val="28"/>
        </w:rPr>
        <w:t>)</w:t>
      </w:r>
      <w:r w:rsidR="00096260" w:rsidRPr="00F421DC">
        <w:rPr>
          <w:rFonts w:eastAsia="Times New Roman" w:cs="Times New Roman"/>
          <w:sz w:val="28"/>
          <w:szCs w:val="28"/>
        </w:rPr>
        <w:t>)</w:t>
      </w:r>
      <w:r w:rsidRPr="00F421DC">
        <w:rPr>
          <w:rFonts w:eastAsia="Times New Roman" w:cs="Times New Roman"/>
          <w:sz w:val="28"/>
          <w:szCs w:val="28"/>
        </w:rPr>
        <w:t xml:space="preserve">. </w:t>
      </w:r>
      <w:r w:rsidR="00096260" w:rsidRPr="00F421DC">
        <w:rPr>
          <w:rFonts w:eastAsia="Times New Roman" w:cs="Times New Roman"/>
          <w:sz w:val="28"/>
          <w:szCs w:val="28"/>
        </w:rPr>
        <w:t xml:space="preserve">Các trường ĐHTT đã góp phần hoàn thiện hệ thống giáo dục ĐH (GDĐH) </w:t>
      </w:r>
      <w:r w:rsidRPr="00F421DC">
        <w:rPr>
          <w:rFonts w:eastAsia="Times New Roman" w:cs="Times New Roman"/>
          <w:sz w:val="28"/>
          <w:szCs w:val="28"/>
        </w:rPr>
        <w:t>Việt Nam</w:t>
      </w:r>
      <w:r w:rsidR="00687C16" w:rsidRPr="00F421DC">
        <w:rPr>
          <w:rFonts w:eastAsia="Times New Roman" w:cs="Times New Roman"/>
          <w:sz w:val="28"/>
          <w:szCs w:val="28"/>
        </w:rPr>
        <w:t xml:space="preserve">, </w:t>
      </w:r>
      <w:r w:rsidR="00096260" w:rsidRPr="00F421DC">
        <w:rPr>
          <w:rFonts w:eastAsia="Times New Roman" w:cs="Times New Roman"/>
          <w:sz w:val="28"/>
          <w:szCs w:val="28"/>
        </w:rPr>
        <w:t>có nhiều đóng góp vào sự nghiệp xây dựng và bảo vệ tổ quốc nói chung,</w:t>
      </w:r>
      <w:r w:rsidRPr="00F421DC">
        <w:rPr>
          <w:rFonts w:eastAsia="Times New Roman" w:cs="Times New Roman"/>
          <w:sz w:val="28"/>
          <w:szCs w:val="28"/>
        </w:rPr>
        <w:t xml:space="preserve"> sự phát triển của </w:t>
      </w:r>
      <w:r w:rsidR="00096260" w:rsidRPr="00F421DC">
        <w:rPr>
          <w:rFonts w:eastAsia="Times New Roman" w:cs="Times New Roman"/>
          <w:sz w:val="28"/>
          <w:szCs w:val="28"/>
        </w:rPr>
        <w:t>giáo dục</w:t>
      </w:r>
      <w:r w:rsidRPr="00F421DC">
        <w:rPr>
          <w:rFonts w:eastAsia="Times New Roman" w:cs="Times New Roman"/>
          <w:sz w:val="28"/>
          <w:szCs w:val="28"/>
        </w:rPr>
        <w:t xml:space="preserve"> </w:t>
      </w:r>
      <w:r w:rsidR="00802FF6" w:rsidRPr="00F421DC">
        <w:rPr>
          <w:rFonts w:eastAsia="Times New Roman" w:cs="Times New Roman"/>
          <w:sz w:val="28"/>
          <w:szCs w:val="28"/>
        </w:rPr>
        <w:t xml:space="preserve">Việt Nam </w:t>
      </w:r>
      <w:r w:rsidRPr="00F421DC">
        <w:rPr>
          <w:rFonts w:eastAsia="Times New Roman" w:cs="Times New Roman"/>
          <w:sz w:val="28"/>
          <w:szCs w:val="28"/>
        </w:rPr>
        <w:t>nói riêng.</w:t>
      </w:r>
      <w:r w:rsidR="002E5664" w:rsidRPr="00F421DC">
        <w:rPr>
          <w:rFonts w:eastAsia="Times New Roman" w:cs="Times New Roman"/>
          <w:sz w:val="28"/>
          <w:szCs w:val="28"/>
        </w:rPr>
        <w:t xml:space="preserve"> Tuy nhiên, </w:t>
      </w:r>
      <w:r w:rsidR="00802FF6" w:rsidRPr="00F421DC">
        <w:rPr>
          <w:rFonts w:eastAsia="Times New Roman" w:cs="Times New Roman"/>
          <w:sz w:val="28"/>
          <w:szCs w:val="28"/>
        </w:rPr>
        <w:t>hệ thống ĐHTT Việt Nam còn nhiều tồn tại và hạn chế, đặc biệt là năng lực</w:t>
      </w:r>
      <w:r w:rsidR="00342C3E" w:rsidRPr="00F421DC">
        <w:rPr>
          <w:rFonts w:eastAsia="Times New Roman" w:cs="Times New Roman"/>
          <w:sz w:val="28"/>
          <w:szCs w:val="28"/>
        </w:rPr>
        <w:t xml:space="preserve"> hội nhập</w:t>
      </w:r>
      <w:r w:rsidR="00B52CB0" w:rsidRPr="00F421DC">
        <w:rPr>
          <w:rFonts w:eastAsia="Times New Roman" w:cs="Times New Roman"/>
          <w:sz w:val="28"/>
          <w:szCs w:val="28"/>
        </w:rPr>
        <w:t>,</w:t>
      </w:r>
      <w:r w:rsidR="00802FF6" w:rsidRPr="00F421DC">
        <w:rPr>
          <w:rFonts w:eastAsia="Times New Roman" w:cs="Times New Roman"/>
          <w:sz w:val="28"/>
          <w:szCs w:val="28"/>
        </w:rPr>
        <w:t xml:space="preserve"> cạnh tranh </w:t>
      </w:r>
      <w:r w:rsidR="005D219D" w:rsidRPr="00F421DC">
        <w:rPr>
          <w:rFonts w:eastAsia="Times New Roman" w:cs="Times New Roman"/>
          <w:sz w:val="28"/>
          <w:szCs w:val="28"/>
        </w:rPr>
        <w:t xml:space="preserve">GDĐH </w:t>
      </w:r>
      <w:r w:rsidR="00342C3E" w:rsidRPr="00F421DC">
        <w:rPr>
          <w:rFonts w:eastAsia="Times New Roman" w:cs="Times New Roman"/>
          <w:sz w:val="28"/>
          <w:szCs w:val="28"/>
        </w:rPr>
        <w:t xml:space="preserve">quốc tế </w:t>
      </w:r>
      <w:r w:rsidR="00B52CB0" w:rsidRPr="00F421DC">
        <w:rPr>
          <w:rFonts w:eastAsia="Times New Roman" w:cs="Times New Roman"/>
          <w:sz w:val="28"/>
          <w:szCs w:val="28"/>
        </w:rPr>
        <w:t>còn thấp.</w:t>
      </w:r>
      <w:r w:rsidR="00802FF6" w:rsidRPr="00F421DC">
        <w:rPr>
          <w:rFonts w:eastAsia="Times New Roman" w:cs="Times New Roman"/>
          <w:sz w:val="28"/>
          <w:szCs w:val="28"/>
        </w:rPr>
        <w:t xml:space="preserve"> </w:t>
      </w:r>
      <w:r w:rsidR="00096260" w:rsidRPr="00F421DC">
        <w:rPr>
          <w:rFonts w:eastAsia="Times New Roman" w:cs="Times New Roman"/>
          <w:sz w:val="28"/>
          <w:szCs w:val="28"/>
        </w:rPr>
        <w:t>Đ</w:t>
      </w:r>
      <w:r w:rsidRPr="00F421DC">
        <w:rPr>
          <w:rFonts w:eastAsia="Times New Roman" w:cs="Times New Roman"/>
          <w:sz w:val="28"/>
          <w:szCs w:val="28"/>
        </w:rPr>
        <w:t xml:space="preserve">ể </w:t>
      </w:r>
      <w:r w:rsidR="00B52CB0" w:rsidRPr="00F421DC">
        <w:rPr>
          <w:rFonts w:eastAsia="Times New Roman" w:cs="Times New Roman"/>
          <w:sz w:val="28"/>
          <w:szCs w:val="28"/>
        </w:rPr>
        <w:t xml:space="preserve">giải quyết thực trạng này, </w:t>
      </w:r>
      <w:r w:rsidR="00D956CE" w:rsidRPr="00F421DC">
        <w:rPr>
          <w:rFonts w:eastAsia="Times New Roman" w:cs="Times New Roman"/>
          <w:sz w:val="28"/>
          <w:szCs w:val="28"/>
        </w:rPr>
        <w:t xml:space="preserve">góp phần thực hiện thành công Nghị quyết 29-NQ/TW ngày 04/11/2013 của Ban Chấp hành Trung ương về đổi mới căn bản, toàn diện giáo dục và đào tạo (GD&amp;ĐT) trong đó </w:t>
      </w:r>
      <w:r w:rsidR="00CD6E02" w:rsidRPr="00F421DC">
        <w:rPr>
          <w:rFonts w:eastAsia="Times New Roman" w:cs="Times New Roman"/>
          <w:sz w:val="28"/>
          <w:szCs w:val="28"/>
        </w:rPr>
        <w:t>mục tiêu đổi</w:t>
      </w:r>
      <w:r w:rsidR="00D956CE" w:rsidRPr="00F421DC">
        <w:rPr>
          <w:rFonts w:eastAsia="Times New Roman" w:cs="Times New Roman"/>
          <w:sz w:val="28"/>
          <w:szCs w:val="28"/>
        </w:rPr>
        <w:t xml:space="preserve"> mới GDĐH </w:t>
      </w:r>
      <w:r w:rsidR="00403AB5" w:rsidRPr="00F421DC">
        <w:rPr>
          <w:rFonts w:eastAsia="Times New Roman" w:cs="Times New Roman"/>
          <w:sz w:val="28"/>
          <w:szCs w:val="28"/>
        </w:rPr>
        <w:t xml:space="preserve">theo định hướng cạnh tranh và hội nhập quốc tế </w:t>
      </w:r>
      <w:r w:rsidR="00D956CE" w:rsidRPr="00F421DC">
        <w:rPr>
          <w:rFonts w:eastAsia="Times New Roman" w:cs="Times New Roman"/>
          <w:sz w:val="28"/>
          <w:szCs w:val="28"/>
        </w:rPr>
        <w:t>được nhấn mạnh</w:t>
      </w:r>
      <w:r w:rsidR="00F322A0" w:rsidRPr="00F421DC">
        <w:rPr>
          <w:rFonts w:eastAsia="Times New Roman" w:cs="Times New Roman"/>
          <w:sz w:val="28"/>
          <w:szCs w:val="28"/>
        </w:rPr>
        <w:t xml:space="preserve"> [</w:t>
      </w:r>
      <w:r w:rsidR="0055795A" w:rsidRPr="00F421DC">
        <w:rPr>
          <w:rFonts w:eastAsia="Times New Roman" w:cs="Times New Roman"/>
          <w:sz w:val="28"/>
          <w:szCs w:val="28"/>
        </w:rPr>
        <w:t>1</w:t>
      </w:r>
      <w:r w:rsidR="00F322A0" w:rsidRPr="00F421DC">
        <w:rPr>
          <w:rFonts w:eastAsia="Times New Roman" w:cs="Times New Roman"/>
          <w:sz w:val="28"/>
          <w:szCs w:val="28"/>
        </w:rPr>
        <w:t>]</w:t>
      </w:r>
      <w:r w:rsidR="00D956CE" w:rsidRPr="00F421DC">
        <w:rPr>
          <w:rFonts w:eastAsia="Times New Roman" w:cs="Times New Roman"/>
          <w:sz w:val="28"/>
          <w:szCs w:val="28"/>
        </w:rPr>
        <w:t xml:space="preserve">, </w:t>
      </w:r>
      <w:r w:rsidR="00404EC7" w:rsidRPr="00F421DC">
        <w:rPr>
          <w:rFonts w:eastAsia="Times New Roman" w:cs="Times New Roman"/>
          <w:sz w:val="28"/>
          <w:szCs w:val="28"/>
        </w:rPr>
        <w:t>cần xây dựng và triển khai đồng bộ các giải pháp khác nhau</w:t>
      </w:r>
      <w:r w:rsidR="002E5664" w:rsidRPr="00F421DC">
        <w:rPr>
          <w:rFonts w:eastAsia="Times New Roman" w:cs="Times New Roman"/>
          <w:sz w:val="28"/>
          <w:szCs w:val="28"/>
        </w:rPr>
        <w:t xml:space="preserve">. </w:t>
      </w:r>
    </w:p>
    <w:p w:rsidR="00FB7CA8" w:rsidRPr="00F421DC" w:rsidRDefault="003F52EE" w:rsidP="00F421DC">
      <w:pPr>
        <w:spacing w:after="120" w:line="240" w:lineRule="auto"/>
        <w:ind w:firstLine="709"/>
        <w:jc w:val="both"/>
        <w:rPr>
          <w:rFonts w:cs="Times New Roman"/>
          <w:b/>
          <w:sz w:val="28"/>
          <w:szCs w:val="28"/>
        </w:rPr>
      </w:pPr>
      <w:r w:rsidRPr="00F421DC">
        <w:rPr>
          <w:rFonts w:cs="Times New Roman"/>
          <w:b/>
          <w:sz w:val="28"/>
          <w:szCs w:val="28"/>
        </w:rPr>
        <w:lastRenderedPageBreak/>
        <w:t>2. Nội dung</w:t>
      </w:r>
    </w:p>
    <w:p w:rsidR="00FB7CA8" w:rsidRPr="00F421DC" w:rsidRDefault="003F52EE" w:rsidP="00F421DC">
      <w:pPr>
        <w:spacing w:after="120" w:line="240" w:lineRule="auto"/>
        <w:ind w:firstLine="709"/>
        <w:jc w:val="both"/>
        <w:rPr>
          <w:rFonts w:cs="Times New Roman"/>
          <w:b/>
          <w:sz w:val="28"/>
          <w:szCs w:val="28"/>
        </w:rPr>
      </w:pPr>
      <w:r w:rsidRPr="00F421DC">
        <w:rPr>
          <w:rFonts w:cs="Times New Roman"/>
          <w:b/>
          <w:sz w:val="28"/>
          <w:szCs w:val="28"/>
        </w:rPr>
        <w:t xml:space="preserve">2.1. Tổng quan hệ thống </w:t>
      </w:r>
      <w:r w:rsidR="00EF3D0C" w:rsidRPr="00F421DC">
        <w:rPr>
          <w:rFonts w:cs="Times New Roman"/>
          <w:b/>
          <w:sz w:val="28"/>
          <w:szCs w:val="28"/>
        </w:rPr>
        <w:t>đại học tư thục</w:t>
      </w:r>
      <w:r w:rsidRPr="00F421DC">
        <w:rPr>
          <w:rFonts w:cs="Times New Roman"/>
          <w:b/>
          <w:sz w:val="28"/>
          <w:szCs w:val="28"/>
        </w:rPr>
        <w:t xml:space="preserve"> Việt Nam</w:t>
      </w:r>
    </w:p>
    <w:p w:rsidR="00C94F1A" w:rsidRPr="00F421DC" w:rsidRDefault="006F1789" w:rsidP="00F421DC">
      <w:pPr>
        <w:spacing w:after="120" w:line="240" w:lineRule="auto"/>
        <w:ind w:firstLine="709"/>
        <w:jc w:val="both"/>
        <w:rPr>
          <w:rFonts w:eastAsia="Times New Roman" w:cs="Times New Roman"/>
          <w:sz w:val="28"/>
          <w:szCs w:val="28"/>
        </w:rPr>
      </w:pPr>
      <w:r w:rsidRPr="00F421DC">
        <w:rPr>
          <w:rFonts w:eastAsia="Calibri" w:cs="Times New Roman"/>
          <w:sz w:val="28"/>
          <w:szCs w:val="28"/>
          <w:shd w:val="clear" w:color="auto" w:fill="FFFFFF"/>
        </w:rPr>
        <w:t xml:space="preserve">Sự ra đời hệ thống ĐHTT Việt Nam </w:t>
      </w:r>
      <w:r w:rsidR="00334E9B" w:rsidRPr="00F421DC">
        <w:rPr>
          <w:rFonts w:eastAsia="Calibri" w:cs="Times New Roman"/>
          <w:sz w:val="28"/>
          <w:szCs w:val="28"/>
          <w:shd w:val="clear" w:color="auto" w:fill="FFFFFF"/>
        </w:rPr>
        <w:t xml:space="preserve">sau năm 1975 </w:t>
      </w:r>
      <w:r w:rsidR="00D60858" w:rsidRPr="00F421DC">
        <w:rPr>
          <w:rFonts w:eastAsia="Calibri" w:cs="Times New Roman"/>
          <w:sz w:val="28"/>
          <w:szCs w:val="28"/>
          <w:shd w:val="clear" w:color="auto" w:fill="FFFFFF"/>
        </w:rPr>
        <w:t xml:space="preserve">xuất phát từ </w:t>
      </w:r>
      <w:r w:rsidRPr="00F421DC">
        <w:rPr>
          <w:rFonts w:eastAsia="Calibri" w:cs="Times New Roman"/>
          <w:sz w:val="28"/>
          <w:szCs w:val="28"/>
          <w:shd w:val="clear" w:color="auto" w:fill="FFFFFF"/>
        </w:rPr>
        <w:t xml:space="preserve">đường lối đổi mới </w:t>
      </w:r>
      <w:r w:rsidR="00F4488B" w:rsidRPr="00F421DC">
        <w:rPr>
          <w:rFonts w:eastAsia="Calibri" w:cs="Times New Roman"/>
          <w:sz w:val="28"/>
          <w:szCs w:val="28"/>
          <w:shd w:val="clear" w:color="auto" w:fill="FFFFFF"/>
        </w:rPr>
        <w:t>toàn diện đất nước</w:t>
      </w:r>
      <w:r w:rsidRPr="00F421DC">
        <w:rPr>
          <w:rFonts w:eastAsia="Calibri" w:cs="Times New Roman"/>
          <w:sz w:val="28"/>
          <w:szCs w:val="28"/>
          <w:shd w:val="clear" w:color="auto" w:fill="FFFFFF"/>
        </w:rPr>
        <w:t xml:space="preserve"> được quyết định tại Đại hội VI</w:t>
      </w:r>
      <w:r w:rsidR="002108E5" w:rsidRPr="00F421DC">
        <w:rPr>
          <w:rFonts w:eastAsia="Calibri" w:cs="Times New Roman"/>
          <w:sz w:val="28"/>
          <w:szCs w:val="28"/>
          <w:shd w:val="clear" w:color="auto" w:fill="FFFFFF"/>
        </w:rPr>
        <w:t xml:space="preserve"> năm 1986</w:t>
      </w:r>
      <w:r w:rsidR="00D60858" w:rsidRPr="00F421DC">
        <w:rPr>
          <w:rFonts w:eastAsia="Calibri" w:cs="Times New Roman"/>
          <w:sz w:val="28"/>
          <w:szCs w:val="28"/>
          <w:shd w:val="clear" w:color="auto" w:fill="FFFFFF"/>
        </w:rPr>
        <w:t xml:space="preserve"> của Đảng. Từ đường lối đổi mới của Đảng, nhiều nghị quyết, </w:t>
      </w:r>
      <w:r w:rsidRPr="00F421DC">
        <w:rPr>
          <w:rFonts w:eastAsia="Calibri" w:cs="Times New Roman"/>
          <w:sz w:val="28"/>
          <w:szCs w:val="28"/>
          <w:shd w:val="clear" w:color="auto" w:fill="FFFFFF"/>
        </w:rPr>
        <w:t>chủ trương</w:t>
      </w:r>
      <w:r w:rsidR="00D60858" w:rsidRPr="00F421DC">
        <w:rPr>
          <w:rFonts w:eastAsia="Calibri" w:cs="Times New Roman"/>
          <w:sz w:val="28"/>
          <w:szCs w:val="28"/>
          <w:shd w:val="clear" w:color="auto" w:fill="FFFFFF"/>
        </w:rPr>
        <w:t>, chính sách của Đảng, Nhà nước về phát triể</w:t>
      </w:r>
      <w:r w:rsidR="00B33A59" w:rsidRPr="00F421DC">
        <w:rPr>
          <w:rFonts w:eastAsia="Calibri" w:cs="Times New Roman"/>
          <w:sz w:val="28"/>
          <w:szCs w:val="28"/>
          <w:shd w:val="clear" w:color="auto" w:fill="FFFFFF"/>
        </w:rPr>
        <w:t>n mô hình này</w:t>
      </w:r>
      <w:r w:rsidR="00D60858" w:rsidRPr="00F421DC">
        <w:rPr>
          <w:rFonts w:eastAsia="Calibri" w:cs="Times New Roman"/>
          <w:sz w:val="28"/>
          <w:szCs w:val="28"/>
          <w:shd w:val="clear" w:color="auto" w:fill="FFFFFF"/>
        </w:rPr>
        <w:t xml:space="preserve"> đã được ban hành và thực thi</w:t>
      </w:r>
      <w:r w:rsidRPr="00F421DC">
        <w:rPr>
          <w:rFonts w:eastAsia="Calibri" w:cs="Times New Roman"/>
          <w:sz w:val="28"/>
          <w:szCs w:val="28"/>
          <w:shd w:val="clear" w:color="auto" w:fill="FFFFFF"/>
        </w:rPr>
        <w:t xml:space="preserve"> </w:t>
      </w:r>
      <w:r w:rsidR="00D60858" w:rsidRPr="00F421DC">
        <w:rPr>
          <w:rFonts w:eastAsia="Calibri" w:cs="Times New Roman"/>
          <w:sz w:val="28"/>
          <w:szCs w:val="28"/>
          <w:shd w:val="clear" w:color="auto" w:fill="FFFFFF"/>
        </w:rPr>
        <w:t>gắn liền vớ</w:t>
      </w:r>
      <w:r w:rsidR="00B33A59" w:rsidRPr="00F421DC">
        <w:rPr>
          <w:rFonts w:eastAsia="Calibri" w:cs="Times New Roman"/>
          <w:sz w:val="28"/>
          <w:szCs w:val="28"/>
          <w:shd w:val="clear" w:color="auto" w:fill="FFFFFF"/>
        </w:rPr>
        <w:t xml:space="preserve">i quá trình lập pháp trong lĩnh vực </w:t>
      </w:r>
      <w:r w:rsidR="00F66CAE">
        <w:rPr>
          <w:rFonts w:eastAsia="Calibri" w:cs="Times New Roman"/>
          <w:sz w:val="28"/>
          <w:szCs w:val="28"/>
          <w:shd w:val="clear" w:color="auto" w:fill="FFFFFF"/>
        </w:rPr>
        <w:t>GD</w:t>
      </w:r>
      <w:r w:rsidR="00D60858" w:rsidRPr="00F421DC">
        <w:rPr>
          <w:rFonts w:eastAsia="Calibri" w:cs="Times New Roman"/>
          <w:sz w:val="28"/>
          <w:szCs w:val="28"/>
          <w:shd w:val="clear" w:color="auto" w:fill="FFFFFF"/>
        </w:rPr>
        <w:t xml:space="preserve"> của Quốc Hội. </w:t>
      </w:r>
      <w:r w:rsidR="00455D42" w:rsidRPr="00F421DC">
        <w:rPr>
          <w:rFonts w:eastAsia="Calibri" w:cs="Times New Roman"/>
          <w:sz w:val="28"/>
          <w:szCs w:val="28"/>
          <w:shd w:val="clear" w:color="auto" w:fill="FFFFFF"/>
        </w:rPr>
        <w:t xml:space="preserve">Năm 1994, Thủ tướng Chính phủ quyết định thành lập </w:t>
      </w:r>
      <w:r w:rsidR="00B33A59" w:rsidRPr="00F421DC">
        <w:rPr>
          <w:rFonts w:eastAsia="Calibri" w:cs="Times New Roman"/>
          <w:sz w:val="28"/>
          <w:szCs w:val="28"/>
          <w:shd w:val="clear" w:color="auto" w:fill="FFFFFF"/>
        </w:rPr>
        <w:t xml:space="preserve">05 trường </w:t>
      </w:r>
      <w:r w:rsidR="00455D42" w:rsidRPr="00F421DC">
        <w:rPr>
          <w:rFonts w:eastAsia="Calibri" w:cs="Times New Roman"/>
          <w:sz w:val="28"/>
          <w:szCs w:val="28"/>
          <w:shd w:val="clear" w:color="auto" w:fill="FFFFFF"/>
        </w:rPr>
        <w:t>ĐH dân lập gồm 03 trường ở thành phố Hà Nội, 01 trường ở thành phố Đà Nẵng và 01 trường ở thành phố Hồ Chí Minh. Ngày 02/</w:t>
      </w:r>
      <w:r w:rsidR="0014187E" w:rsidRPr="00F421DC">
        <w:rPr>
          <w:rFonts w:eastAsia="Calibri" w:cs="Times New Roman"/>
          <w:sz w:val="28"/>
          <w:szCs w:val="28"/>
          <w:shd w:val="clear" w:color="auto" w:fill="FFFFFF"/>
        </w:rPr>
        <w:t>8</w:t>
      </w:r>
      <w:r w:rsidR="00455D42" w:rsidRPr="00F421DC">
        <w:rPr>
          <w:rFonts w:eastAsia="Calibri" w:cs="Times New Roman"/>
          <w:sz w:val="28"/>
          <w:szCs w:val="28"/>
          <w:shd w:val="clear" w:color="auto" w:fill="FFFFFF"/>
        </w:rPr>
        <w:t>/200</w:t>
      </w:r>
      <w:r w:rsidR="0014187E" w:rsidRPr="00F421DC">
        <w:rPr>
          <w:rFonts w:eastAsia="Calibri" w:cs="Times New Roman"/>
          <w:sz w:val="28"/>
          <w:szCs w:val="28"/>
          <w:shd w:val="clear" w:color="auto" w:fill="FFFFFF"/>
        </w:rPr>
        <w:t>6</w:t>
      </w:r>
      <w:r w:rsidR="00455D42" w:rsidRPr="00F421DC">
        <w:rPr>
          <w:rFonts w:eastAsia="Calibri" w:cs="Times New Roman"/>
          <w:sz w:val="28"/>
          <w:szCs w:val="28"/>
          <w:shd w:val="clear" w:color="auto" w:fill="FFFFFF"/>
        </w:rPr>
        <w:t xml:space="preserve">, </w:t>
      </w:r>
      <w:r w:rsidR="0014187E" w:rsidRPr="00F421DC">
        <w:rPr>
          <w:rFonts w:eastAsia="Calibri" w:cs="Times New Roman"/>
          <w:sz w:val="28"/>
          <w:szCs w:val="28"/>
          <w:shd w:val="clear" w:color="auto" w:fill="FFFFFF"/>
        </w:rPr>
        <w:t xml:space="preserve">Thủ tướng Chính phủ ban hành Nghị định 75/2006/NĐ-CP hướng dẫn thi hành một số điều của </w:t>
      </w:r>
      <w:r w:rsidR="00455D42" w:rsidRPr="00F421DC">
        <w:rPr>
          <w:rFonts w:eastAsia="Calibri" w:cs="Times New Roman"/>
          <w:sz w:val="28"/>
          <w:szCs w:val="28"/>
          <w:shd w:val="clear" w:color="auto" w:fill="FFFFFF"/>
        </w:rPr>
        <w:t>Luật GD</w:t>
      </w:r>
      <w:r w:rsidR="0014187E" w:rsidRPr="00F421DC">
        <w:rPr>
          <w:rFonts w:eastAsia="Calibri" w:cs="Times New Roman"/>
          <w:sz w:val="28"/>
          <w:szCs w:val="28"/>
          <w:shd w:val="clear" w:color="auto" w:fill="FFFFFF"/>
        </w:rPr>
        <w:t xml:space="preserve"> (Quốc Hội khóa XI thông qua ngày 14/66/2005), loại hình trường ĐH bán công và dân lập bị xóa bỏ, chỉ còn một loại hình trường ĐH ngoài công lập là trường ĐHTT. </w:t>
      </w:r>
      <w:r w:rsidR="00891B3E" w:rsidRPr="00F421DC">
        <w:rPr>
          <w:rFonts w:eastAsia="Calibri" w:cs="Times New Roman"/>
          <w:sz w:val="28"/>
          <w:szCs w:val="28"/>
          <w:shd w:val="clear" w:color="auto" w:fill="FFFFFF"/>
        </w:rPr>
        <w:t>Thực thi Luật GD</w:t>
      </w:r>
      <w:r w:rsidR="0014187E" w:rsidRPr="00F421DC">
        <w:rPr>
          <w:rFonts w:eastAsia="Calibri" w:cs="Times New Roman"/>
          <w:sz w:val="28"/>
          <w:szCs w:val="28"/>
          <w:shd w:val="clear" w:color="auto" w:fill="FFFFFF"/>
        </w:rPr>
        <w:t xml:space="preserve">, kể từ năm 2006, số trường ĐHTT đã tăng gấp 2 so với giai đoạn từ năm 2005 trở về trước </w:t>
      </w:r>
      <w:r w:rsidR="00334E9B" w:rsidRPr="00F421DC">
        <w:rPr>
          <w:rFonts w:eastAsia="Times New Roman" w:cs="Times New Roman"/>
          <w:sz w:val="28"/>
          <w:szCs w:val="28"/>
        </w:rPr>
        <w:t>(Bảng 2.1)</w:t>
      </w:r>
      <w:r w:rsidR="00166690" w:rsidRPr="00F421DC">
        <w:rPr>
          <w:rFonts w:eastAsia="Times New Roman" w:cs="Times New Roman"/>
          <w:sz w:val="28"/>
          <w:szCs w:val="28"/>
        </w:rPr>
        <w:t>.</w:t>
      </w:r>
    </w:p>
    <w:p w:rsidR="00B33A59" w:rsidRPr="00F421DC" w:rsidRDefault="00B33A59" w:rsidP="00F421DC">
      <w:pPr>
        <w:shd w:val="clear" w:color="auto" w:fill="FFFFFF"/>
        <w:spacing w:after="120" w:line="240" w:lineRule="auto"/>
        <w:jc w:val="center"/>
        <w:rPr>
          <w:rFonts w:eastAsia="Times New Roman" w:cs="Times New Roman"/>
          <w:i/>
          <w:sz w:val="28"/>
          <w:szCs w:val="28"/>
        </w:rPr>
      </w:pPr>
      <w:r w:rsidRPr="00F421DC">
        <w:rPr>
          <w:rFonts w:eastAsia="Times New Roman" w:cs="Times New Roman"/>
          <w:i/>
          <w:sz w:val="28"/>
          <w:szCs w:val="28"/>
        </w:rPr>
        <w:t xml:space="preserve">Bảng 2.1. Số lượng các trường </w:t>
      </w:r>
      <w:r w:rsidR="00334E9B" w:rsidRPr="00F421DC">
        <w:rPr>
          <w:rFonts w:eastAsia="Times New Roman" w:cs="Times New Roman"/>
          <w:i/>
          <w:sz w:val="28"/>
          <w:szCs w:val="28"/>
        </w:rPr>
        <w:t>ĐH</w:t>
      </w:r>
      <w:r w:rsidRPr="00F421DC">
        <w:rPr>
          <w:rFonts w:eastAsia="Times New Roman" w:cs="Times New Roman"/>
          <w:i/>
          <w:sz w:val="28"/>
          <w:szCs w:val="28"/>
        </w:rPr>
        <w:t xml:space="preserve"> ngoài công lập của Việt Nam </w:t>
      </w:r>
    </w:p>
    <w:p w:rsidR="00B33A59" w:rsidRPr="00F421DC" w:rsidRDefault="00B33A59" w:rsidP="00F421DC">
      <w:pPr>
        <w:shd w:val="clear" w:color="auto" w:fill="FFFFFF"/>
        <w:spacing w:after="120" w:line="240" w:lineRule="auto"/>
        <w:jc w:val="center"/>
        <w:rPr>
          <w:rFonts w:eastAsia="Times New Roman" w:cs="Times New Roman"/>
          <w:i/>
          <w:sz w:val="28"/>
          <w:szCs w:val="28"/>
        </w:rPr>
      </w:pPr>
      <w:r w:rsidRPr="00F421DC">
        <w:rPr>
          <w:rFonts w:eastAsia="Times New Roman" w:cs="Times New Roman"/>
          <w:i/>
          <w:sz w:val="28"/>
          <w:szCs w:val="28"/>
        </w:rPr>
        <w:t>từ năm 1994 đến năm 201</w:t>
      </w:r>
      <w:r w:rsidR="003D1C05" w:rsidRPr="00F421DC">
        <w:rPr>
          <w:rFonts w:eastAsia="Times New Roman" w:cs="Times New Roman"/>
          <w:i/>
          <w:sz w:val="28"/>
          <w:szCs w:val="28"/>
        </w:rPr>
        <w:t>8</w:t>
      </w:r>
      <w:r w:rsidR="00CD6E02" w:rsidRPr="00F421DC">
        <w:rPr>
          <w:rFonts w:eastAsia="Times New Roman" w:cs="Times New Roman"/>
          <w:i/>
          <w:sz w:val="28"/>
          <w:szCs w:val="28"/>
        </w:rPr>
        <w:t xml:space="preserve"> [</w:t>
      </w:r>
      <w:r w:rsidR="0055795A" w:rsidRPr="00F421DC">
        <w:rPr>
          <w:rFonts w:eastAsia="Times New Roman" w:cs="Times New Roman"/>
          <w:i/>
          <w:sz w:val="28"/>
          <w:szCs w:val="28"/>
        </w:rPr>
        <w:t>2</w:t>
      </w:r>
      <w:r w:rsidRPr="00F421DC">
        <w:rPr>
          <w:rFonts w:eastAsia="Times New Roman" w:cs="Times New Roman"/>
          <w:i/>
          <w:sz w:val="28"/>
          <w:szCs w:val="28"/>
        </w:rPr>
        <w:t>]</w:t>
      </w:r>
      <w:r w:rsidR="003D1C05" w:rsidRPr="00F421DC">
        <w:rPr>
          <w:rFonts w:eastAsia="Times New Roman" w:cs="Times New Roman"/>
          <w:i/>
          <w:sz w:val="28"/>
          <w:szCs w:val="28"/>
        </w:rPr>
        <w:t>, [</w:t>
      </w:r>
      <w:r w:rsidR="0055795A" w:rsidRPr="00F421DC">
        <w:rPr>
          <w:rFonts w:eastAsia="Times New Roman" w:cs="Times New Roman"/>
          <w:i/>
          <w:sz w:val="28"/>
          <w:szCs w:val="28"/>
        </w:rPr>
        <w:t>3</w:t>
      </w:r>
      <w:r w:rsidR="003D1C05" w:rsidRPr="00F421DC">
        <w:rPr>
          <w:rFonts w:eastAsia="Times New Roman" w:cs="Times New Roman"/>
          <w:i/>
          <w:sz w:val="28"/>
          <w:szCs w:val="28"/>
        </w:rPr>
        <w:t>]</w:t>
      </w:r>
      <w:r w:rsidRPr="00F421DC">
        <w:rPr>
          <w:rFonts w:eastAsia="Times New Roman" w:cs="Times New Roman"/>
          <w:i/>
          <w:sz w:val="28"/>
          <w:szCs w:val="28"/>
        </w:rPr>
        <w:t>.</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29"/>
        <w:gridCol w:w="992"/>
        <w:gridCol w:w="992"/>
        <w:gridCol w:w="992"/>
        <w:gridCol w:w="854"/>
        <w:gridCol w:w="1134"/>
      </w:tblGrid>
      <w:tr w:rsidR="006A7DCD" w:rsidRPr="00F421DC" w:rsidTr="00891B3E">
        <w:trPr>
          <w:trHeight w:val="640"/>
          <w:jc w:val="center"/>
        </w:trPr>
        <w:tc>
          <w:tcPr>
            <w:tcW w:w="3256" w:type="dxa"/>
            <w:shd w:val="clear" w:color="auto" w:fill="auto"/>
            <w:vAlign w:val="center"/>
            <w:hideMark/>
          </w:tcPr>
          <w:p w:rsidR="00FE1CF6" w:rsidRPr="00F421DC" w:rsidRDefault="00FE1CF6" w:rsidP="00F421DC">
            <w:pPr>
              <w:spacing w:after="120" w:line="240" w:lineRule="auto"/>
              <w:jc w:val="center"/>
              <w:rPr>
                <w:rFonts w:eastAsia="Times New Roman" w:cs="Times New Roman"/>
                <w:b/>
                <w:bCs/>
                <w:sz w:val="28"/>
                <w:szCs w:val="28"/>
              </w:rPr>
            </w:pPr>
            <w:r w:rsidRPr="00F421DC">
              <w:rPr>
                <w:rFonts w:eastAsia="Times New Roman" w:cs="Times New Roman"/>
                <w:b/>
                <w:bCs/>
                <w:sz w:val="28"/>
                <w:szCs w:val="28"/>
              </w:rPr>
              <w:t>Năm</w:t>
            </w:r>
          </w:p>
        </w:tc>
        <w:tc>
          <w:tcPr>
            <w:tcW w:w="929"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b/>
                <w:bCs/>
                <w:sz w:val="28"/>
                <w:szCs w:val="28"/>
              </w:rPr>
            </w:pPr>
            <w:r w:rsidRPr="00F421DC">
              <w:rPr>
                <w:rFonts w:eastAsia="Times New Roman" w:cs="Times New Roman"/>
                <w:b/>
                <w:bCs/>
                <w:sz w:val="28"/>
                <w:szCs w:val="28"/>
              </w:rPr>
              <w:t>1994</w:t>
            </w:r>
          </w:p>
        </w:tc>
        <w:tc>
          <w:tcPr>
            <w:tcW w:w="992"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b/>
                <w:bCs/>
                <w:sz w:val="28"/>
                <w:szCs w:val="28"/>
              </w:rPr>
            </w:pPr>
            <w:r w:rsidRPr="00F421DC">
              <w:rPr>
                <w:rFonts w:eastAsia="Times New Roman" w:cs="Times New Roman"/>
                <w:b/>
                <w:bCs/>
                <w:sz w:val="28"/>
                <w:szCs w:val="28"/>
              </w:rPr>
              <w:t>2000</w:t>
            </w:r>
          </w:p>
        </w:tc>
        <w:tc>
          <w:tcPr>
            <w:tcW w:w="992"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b/>
                <w:bCs/>
                <w:sz w:val="28"/>
                <w:szCs w:val="28"/>
              </w:rPr>
            </w:pPr>
            <w:r w:rsidRPr="00F421DC">
              <w:rPr>
                <w:rFonts w:eastAsia="Times New Roman" w:cs="Times New Roman"/>
                <w:b/>
                <w:bCs/>
                <w:sz w:val="28"/>
                <w:szCs w:val="28"/>
              </w:rPr>
              <w:t>2005</w:t>
            </w:r>
          </w:p>
        </w:tc>
        <w:tc>
          <w:tcPr>
            <w:tcW w:w="992"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b/>
                <w:bCs/>
                <w:sz w:val="28"/>
                <w:szCs w:val="28"/>
              </w:rPr>
            </w:pPr>
            <w:r w:rsidRPr="00F421DC">
              <w:rPr>
                <w:rFonts w:eastAsia="Times New Roman" w:cs="Times New Roman"/>
                <w:b/>
                <w:bCs/>
                <w:sz w:val="28"/>
                <w:szCs w:val="28"/>
              </w:rPr>
              <w:t>2010</w:t>
            </w:r>
          </w:p>
        </w:tc>
        <w:tc>
          <w:tcPr>
            <w:tcW w:w="854" w:type="dxa"/>
            <w:vAlign w:val="center"/>
          </w:tcPr>
          <w:p w:rsidR="00FE1CF6" w:rsidRPr="00F421DC" w:rsidRDefault="00FE1CF6" w:rsidP="00F421DC">
            <w:pPr>
              <w:spacing w:after="120" w:line="240" w:lineRule="auto"/>
              <w:jc w:val="center"/>
              <w:rPr>
                <w:rFonts w:eastAsia="Times New Roman" w:cs="Times New Roman"/>
                <w:b/>
                <w:bCs/>
                <w:sz w:val="28"/>
                <w:szCs w:val="28"/>
              </w:rPr>
            </w:pPr>
            <w:r w:rsidRPr="00F421DC">
              <w:rPr>
                <w:rFonts w:eastAsia="Times New Roman" w:cs="Times New Roman"/>
                <w:b/>
                <w:bCs/>
                <w:sz w:val="28"/>
                <w:szCs w:val="28"/>
              </w:rPr>
              <w:t>2016</w:t>
            </w:r>
          </w:p>
        </w:tc>
        <w:tc>
          <w:tcPr>
            <w:tcW w:w="1134" w:type="dxa"/>
            <w:shd w:val="clear" w:color="auto" w:fill="auto"/>
            <w:noWrap/>
            <w:vAlign w:val="center"/>
            <w:hideMark/>
          </w:tcPr>
          <w:p w:rsidR="00FE1CF6" w:rsidRPr="00F421DC" w:rsidRDefault="008E1F6A" w:rsidP="00F421DC">
            <w:pPr>
              <w:spacing w:after="120" w:line="240" w:lineRule="auto"/>
              <w:jc w:val="center"/>
              <w:rPr>
                <w:rFonts w:eastAsia="Times New Roman" w:cs="Times New Roman"/>
                <w:b/>
                <w:bCs/>
                <w:sz w:val="28"/>
                <w:szCs w:val="28"/>
              </w:rPr>
            </w:pPr>
            <w:r w:rsidRPr="00F421DC">
              <w:rPr>
                <w:rFonts w:eastAsia="Times New Roman" w:cs="Times New Roman"/>
                <w:b/>
                <w:bCs/>
                <w:sz w:val="28"/>
                <w:szCs w:val="28"/>
              </w:rPr>
              <w:t>12</w:t>
            </w:r>
            <w:r w:rsidR="00FE1CF6" w:rsidRPr="00F421DC">
              <w:rPr>
                <w:rFonts w:eastAsia="Times New Roman" w:cs="Times New Roman"/>
                <w:b/>
                <w:bCs/>
                <w:sz w:val="28"/>
                <w:szCs w:val="28"/>
              </w:rPr>
              <w:t>/2018</w:t>
            </w:r>
          </w:p>
        </w:tc>
      </w:tr>
      <w:tr w:rsidR="006A7DCD" w:rsidRPr="00F421DC" w:rsidTr="00153533">
        <w:trPr>
          <w:trHeight w:val="890"/>
          <w:jc w:val="center"/>
        </w:trPr>
        <w:tc>
          <w:tcPr>
            <w:tcW w:w="3256"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sz w:val="28"/>
                <w:szCs w:val="28"/>
              </w:rPr>
            </w:pPr>
            <w:r w:rsidRPr="00F421DC">
              <w:rPr>
                <w:rFonts w:eastAsia="Times New Roman" w:cs="Times New Roman"/>
                <w:sz w:val="28"/>
                <w:szCs w:val="28"/>
              </w:rPr>
              <w:t>Số lượng trường đại học ngoài công lập</w:t>
            </w:r>
          </w:p>
        </w:tc>
        <w:tc>
          <w:tcPr>
            <w:tcW w:w="929"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sz w:val="28"/>
                <w:szCs w:val="28"/>
              </w:rPr>
            </w:pPr>
            <w:r w:rsidRPr="00F421DC">
              <w:rPr>
                <w:rFonts w:eastAsia="Times New Roman" w:cs="Times New Roman"/>
                <w:sz w:val="28"/>
                <w:szCs w:val="28"/>
              </w:rPr>
              <w:t>5</w:t>
            </w:r>
          </w:p>
        </w:tc>
        <w:tc>
          <w:tcPr>
            <w:tcW w:w="992"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sz w:val="28"/>
                <w:szCs w:val="28"/>
              </w:rPr>
            </w:pPr>
            <w:r w:rsidRPr="00F421DC">
              <w:rPr>
                <w:rFonts w:eastAsia="Times New Roman" w:cs="Times New Roman"/>
                <w:sz w:val="28"/>
                <w:szCs w:val="28"/>
              </w:rPr>
              <w:t>16</w:t>
            </w:r>
          </w:p>
        </w:tc>
        <w:tc>
          <w:tcPr>
            <w:tcW w:w="992"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sz w:val="28"/>
                <w:szCs w:val="28"/>
              </w:rPr>
            </w:pPr>
            <w:r w:rsidRPr="00F421DC">
              <w:rPr>
                <w:rFonts w:eastAsia="Times New Roman" w:cs="Times New Roman"/>
                <w:sz w:val="28"/>
                <w:szCs w:val="28"/>
              </w:rPr>
              <w:t>20</w:t>
            </w:r>
          </w:p>
        </w:tc>
        <w:tc>
          <w:tcPr>
            <w:tcW w:w="992"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sz w:val="28"/>
                <w:szCs w:val="28"/>
              </w:rPr>
            </w:pPr>
            <w:r w:rsidRPr="00F421DC">
              <w:rPr>
                <w:rFonts w:eastAsia="Times New Roman" w:cs="Times New Roman"/>
                <w:sz w:val="28"/>
                <w:szCs w:val="28"/>
              </w:rPr>
              <w:t>51</w:t>
            </w:r>
          </w:p>
        </w:tc>
        <w:tc>
          <w:tcPr>
            <w:tcW w:w="854" w:type="dxa"/>
            <w:vAlign w:val="center"/>
          </w:tcPr>
          <w:p w:rsidR="00FE1CF6" w:rsidRPr="00F421DC" w:rsidRDefault="00FE1CF6" w:rsidP="00F421DC">
            <w:pPr>
              <w:spacing w:after="120" w:line="240" w:lineRule="auto"/>
              <w:jc w:val="center"/>
              <w:rPr>
                <w:rFonts w:eastAsia="Times New Roman" w:cs="Times New Roman"/>
                <w:sz w:val="28"/>
                <w:szCs w:val="28"/>
              </w:rPr>
            </w:pPr>
            <w:r w:rsidRPr="00F421DC">
              <w:rPr>
                <w:rFonts w:eastAsia="Times New Roman" w:cs="Times New Roman"/>
                <w:sz w:val="28"/>
                <w:szCs w:val="28"/>
              </w:rPr>
              <w:t>60</w:t>
            </w:r>
          </w:p>
        </w:tc>
        <w:tc>
          <w:tcPr>
            <w:tcW w:w="1134"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sz w:val="28"/>
                <w:szCs w:val="28"/>
              </w:rPr>
            </w:pPr>
            <w:r w:rsidRPr="00F421DC">
              <w:rPr>
                <w:rFonts w:eastAsia="Times New Roman" w:cs="Times New Roman"/>
                <w:sz w:val="28"/>
                <w:szCs w:val="28"/>
              </w:rPr>
              <w:t>60</w:t>
            </w:r>
          </w:p>
        </w:tc>
      </w:tr>
      <w:tr w:rsidR="006A7DCD" w:rsidRPr="00F421DC" w:rsidTr="00153533">
        <w:trPr>
          <w:trHeight w:val="1547"/>
          <w:jc w:val="center"/>
        </w:trPr>
        <w:tc>
          <w:tcPr>
            <w:tcW w:w="3256" w:type="dxa"/>
            <w:shd w:val="clear" w:color="auto" w:fill="auto"/>
            <w:vAlign w:val="center"/>
            <w:hideMark/>
          </w:tcPr>
          <w:p w:rsidR="00FE1CF6" w:rsidRPr="00F421DC" w:rsidRDefault="00FE1CF6" w:rsidP="00F421DC">
            <w:pPr>
              <w:spacing w:after="120" w:line="240" w:lineRule="auto"/>
              <w:jc w:val="center"/>
              <w:rPr>
                <w:rFonts w:eastAsia="Times New Roman" w:cs="Times New Roman"/>
                <w:sz w:val="28"/>
                <w:szCs w:val="28"/>
              </w:rPr>
            </w:pPr>
            <w:r w:rsidRPr="00F421DC">
              <w:rPr>
                <w:rFonts w:eastAsia="Times New Roman" w:cs="Times New Roman"/>
                <w:sz w:val="28"/>
                <w:szCs w:val="28"/>
              </w:rPr>
              <w:t>Tỷ lệ % trong tổng số các trường đại học</w:t>
            </w:r>
            <w:r w:rsidR="00891B3E" w:rsidRPr="00F421DC">
              <w:rPr>
                <w:rFonts w:eastAsia="Times New Roman" w:cs="Times New Roman"/>
                <w:sz w:val="28"/>
                <w:szCs w:val="28"/>
              </w:rPr>
              <w:t xml:space="preserve"> (không tính các trường thuộc khối An ninh – Quốc phòng)</w:t>
            </w:r>
          </w:p>
        </w:tc>
        <w:tc>
          <w:tcPr>
            <w:tcW w:w="929"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sz w:val="28"/>
                <w:szCs w:val="28"/>
              </w:rPr>
            </w:pPr>
            <w:r w:rsidRPr="00F421DC">
              <w:rPr>
                <w:rFonts w:eastAsia="Times New Roman" w:cs="Times New Roman"/>
                <w:sz w:val="28"/>
                <w:szCs w:val="28"/>
              </w:rPr>
              <w:t>8.6</w:t>
            </w:r>
          </w:p>
        </w:tc>
        <w:tc>
          <w:tcPr>
            <w:tcW w:w="992"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sz w:val="28"/>
                <w:szCs w:val="28"/>
              </w:rPr>
            </w:pPr>
            <w:r w:rsidRPr="00F421DC">
              <w:rPr>
                <w:rFonts w:eastAsia="Times New Roman" w:cs="Times New Roman"/>
                <w:sz w:val="28"/>
                <w:szCs w:val="28"/>
              </w:rPr>
              <w:t>18.2</w:t>
            </w:r>
          </w:p>
        </w:tc>
        <w:tc>
          <w:tcPr>
            <w:tcW w:w="992"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sz w:val="28"/>
                <w:szCs w:val="28"/>
              </w:rPr>
            </w:pPr>
            <w:r w:rsidRPr="00F421DC">
              <w:rPr>
                <w:rFonts w:eastAsia="Times New Roman" w:cs="Times New Roman"/>
                <w:sz w:val="28"/>
                <w:szCs w:val="28"/>
              </w:rPr>
              <w:t>16.9</w:t>
            </w:r>
          </w:p>
        </w:tc>
        <w:tc>
          <w:tcPr>
            <w:tcW w:w="992" w:type="dxa"/>
            <w:shd w:val="clear" w:color="auto" w:fill="auto"/>
            <w:noWrap/>
            <w:vAlign w:val="center"/>
            <w:hideMark/>
          </w:tcPr>
          <w:p w:rsidR="00FE1CF6" w:rsidRPr="00F421DC" w:rsidRDefault="00FE1CF6" w:rsidP="00F421DC">
            <w:pPr>
              <w:spacing w:after="120" w:line="240" w:lineRule="auto"/>
              <w:jc w:val="center"/>
              <w:rPr>
                <w:rFonts w:eastAsia="Times New Roman" w:cs="Times New Roman"/>
                <w:sz w:val="28"/>
                <w:szCs w:val="28"/>
              </w:rPr>
            </w:pPr>
            <w:r w:rsidRPr="00F421DC">
              <w:rPr>
                <w:rFonts w:eastAsia="Times New Roman" w:cs="Times New Roman"/>
                <w:sz w:val="28"/>
                <w:szCs w:val="28"/>
              </w:rPr>
              <w:t>26.7</w:t>
            </w:r>
          </w:p>
        </w:tc>
        <w:tc>
          <w:tcPr>
            <w:tcW w:w="854" w:type="dxa"/>
            <w:vAlign w:val="center"/>
          </w:tcPr>
          <w:p w:rsidR="00FE1CF6" w:rsidRPr="00F421DC" w:rsidRDefault="00FE1CF6" w:rsidP="00F421DC">
            <w:pPr>
              <w:spacing w:after="120" w:line="240" w:lineRule="auto"/>
              <w:jc w:val="center"/>
              <w:rPr>
                <w:rFonts w:eastAsia="Times New Roman" w:cs="Times New Roman"/>
                <w:sz w:val="28"/>
                <w:szCs w:val="28"/>
              </w:rPr>
            </w:pPr>
            <w:r w:rsidRPr="00F421DC">
              <w:rPr>
                <w:rFonts w:eastAsia="Times New Roman" w:cs="Times New Roman"/>
                <w:sz w:val="28"/>
                <w:szCs w:val="28"/>
              </w:rPr>
              <w:t>25.5</w:t>
            </w:r>
          </w:p>
        </w:tc>
        <w:tc>
          <w:tcPr>
            <w:tcW w:w="1134" w:type="dxa"/>
            <w:shd w:val="clear" w:color="auto" w:fill="auto"/>
            <w:noWrap/>
            <w:vAlign w:val="center"/>
            <w:hideMark/>
          </w:tcPr>
          <w:p w:rsidR="00FE1CF6" w:rsidRPr="00F421DC" w:rsidRDefault="008E1F6A" w:rsidP="00F421DC">
            <w:pPr>
              <w:spacing w:after="120" w:line="240" w:lineRule="auto"/>
              <w:jc w:val="center"/>
              <w:rPr>
                <w:rFonts w:eastAsia="Times New Roman" w:cs="Times New Roman"/>
                <w:sz w:val="28"/>
                <w:szCs w:val="28"/>
              </w:rPr>
            </w:pPr>
            <w:r w:rsidRPr="00F421DC">
              <w:rPr>
                <w:rFonts w:eastAsia="Times New Roman" w:cs="Times New Roman"/>
                <w:sz w:val="28"/>
                <w:szCs w:val="28"/>
              </w:rPr>
              <w:t>25.4</w:t>
            </w:r>
          </w:p>
        </w:tc>
      </w:tr>
    </w:tbl>
    <w:p w:rsidR="00B33A59" w:rsidRPr="00153533" w:rsidRDefault="00B33A59" w:rsidP="00F421DC">
      <w:pPr>
        <w:spacing w:after="120" w:line="240" w:lineRule="auto"/>
        <w:ind w:firstLine="709"/>
        <w:jc w:val="both"/>
        <w:rPr>
          <w:rFonts w:eastAsia="Times New Roman" w:cs="Times New Roman"/>
          <w:sz w:val="20"/>
          <w:szCs w:val="28"/>
        </w:rPr>
      </w:pPr>
    </w:p>
    <w:p w:rsidR="00901847" w:rsidRPr="00F421DC" w:rsidRDefault="00901847" w:rsidP="00F421DC">
      <w:pPr>
        <w:spacing w:after="120" w:line="240" w:lineRule="auto"/>
        <w:ind w:firstLine="709"/>
        <w:jc w:val="both"/>
        <w:rPr>
          <w:rFonts w:eastAsia="Times New Roman" w:cs="Times New Roman"/>
          <w:sz w:val="28"/>
          <w:szCs w:val="28"/>
        </w:rPr>
      </w:pPr>
      <w:r w:rsidRPr="00F421DC">
        <w:rPr>
          <w:rFonts w:eastAsia="Times New Roman" w:cs="Times New Roman"/>
          <w:sz w:val="28"/>
          <w:szCs w:val="28"/>
        </w:rPr>
        <w:t xml:space="preserve">60 trường </w:t>
      </w:r>
      <w:r w:rsidR="00C94F1A" w:rsidRPr="00F421DC">
        <w:rPr>
          <w:rFonts w:eastAsia="Times New Roman" w:cs="Times New Roman"/>
          <w:sz w:val="28"/>
          <w:szCs w:val="28"/>
        </w:rPr>
        <w:t>ĐHTT đóng</w:t>
      </w:r>
      <w:r w:rsidRPr="00F421DC">
        <w:rPr>
          <w:rFonts w:eastAsia="Times New Roman" w:cs="Times New Roman"/>
          <w:sz w:val="28"/>
          <w:szCs w:val="28"/>
        </w:rPr>
        <w:t xml:space="preserve"> ở 29/63 tỉnh</w:t>
      </w:r>
      <w:r w:rsidR="00334E9B" w:rsidRPr="00F421DC">
        <w:rPr>
          <w:rFonts w:eastAsia="Times New Roman" w:cs="Times New Roman"/>
          <w:sz w:val="28"/>
          <w:szCs w:val="28"/>
        </w:rPr>
        <w:t>, thành:</w:t>
      </w:r>
      <w:r w:rsidRPr="00F421DC">
        <w:rPr>
          <w:rFonts w:eastAsia="Times New Roman" w:cs="Times New Roman"/>
          <w:sz w:val="28"/>
          <w:szCs w:val="28"/>
        </w:rPr>
        <w:t xml:space="preserve"> miền Bắc có 23 trường, miền Trung – Tây nguyên có 12 trường và miền Nam có 25 trường, trong</w:t>
      </w:r>
      <w:r w:rsidR="00C34CC5" w:rsidRPr="00F421DC">
        <w:rPr>
          <w:rFonts w:eastAsia="Times New Roman" w:cs="Times New Roman"/>
          <w:sz w:val="28"/>
          <w:szCs w:val="28"/>
        </w:rPr>
        <w:t xml:space="preserve"> đó thành phố Hà Nội có số trường</w:t>
      </w:r>
      <w:r w:rsidRPr="00F421DC">
        <w:rPr>
          <w:rFonts w:eastAsia="Times New Roman" w:cs="Times New Roman"/>
          <w:sz w:val="28"/>
          <w:szCs w:val="28"/>
        </w:rPr>
        <w:t xml:space="preserve"> nhiều nhất là 13 trường, tiếp đến là thành phố Hồ Chí Minh có 12 trường</w:t>
      </w:r>
      <w:r w:rsidR="00AC12B1" w:rsidRPr="00F421DC">
        <w:rPr>
          <w:rFonts w:eastAsia="Times New Roman" w:cs="Times New Roman"/>
          <w:sz w:val="28"/>
          <w:szCs w:val="28"/>
        </w:rPr>
        <w:t xml:space="preserve"> [</w:t>
      </w:r>
      <w:r w:rsidR="0055795A" w:rsidRPr="00F421DC">
        <w:rPr>
          <w:rFonts w:eastAsia="Times New Roman" w:cs="Times New Roman"/>
          <w:sz w:val="28"/>
          <w:szCs w:val="28"/>
        </w:rPr>
        <w:t>4</w:t>
      </w:r>
      <w:r w:rsidR="00AC12B1" w:rsidRPr="00F421DC">
        <w:rPr>
          <w:rFonts w:eastAsia="Times New Roman" w:cs="Times New Roman"/>
          <w:sz w:val="28"/>
          <w:szCs w:val="28"/>
        </w:rPr>
        <w:t>]</w:t>
      </w:r>
      <w:r w:rsidR="00C94F1A" w:rsidRPr="00F421DC">
        <w:rPr>
          <w:rFonts w:eastAsia="Times New Roman" w:cs="Times New Roman"/>
          <w:sz w:val="28"/>
          <w:szCs w:val="28"/>
        </w:rPr>
        <w:t>.</w:t>
      </w:r>
    </w:p>
    <w:p w:rsidR="00404EC7" w:rsidRPr="00F421DC" w:rsidRDefault="00404EC7" w:rsidP="00F421DC">
      <w:pPr>
        <w:shd w:val="clear" w:color="auto" w:fill="FFFFFF"/>
        <w:spacing w:after="120" w:line="240" w:lineRule="auto"/>
        <w:ind w:firstLine="709"/>
        <w:jc w:val="both"/>
        <w:rPr>
          <w:rFonts w:eastAsia="Times New Roman" w:cs="Times New Roman"/>
          <w:b/>
          <w:i/>
          <w:sz w:val="28"/>
          <w:szCs w:val="28"/>
        </w:rPr>
      </w:pPr>
      <w:r w:rsidRPr="00F421DC">
        <w:rPr>
          <w:rFonts w:eastAsia="Times New Roman" w:cs="Times New Roman"/>
          <w:b/>
          <w:sz w:val="28"/>
          <w:szCs w:val="28"/>
        </w:rPr>
        <w:t>2.2.</w:t>
      </w:r>
      <w:r w:rsidRPr="00F421DC">
        <w:rPr>
          <w:rFonts w:eastAsia="Times New Roman" w:cs="Times New Roman"/>
          <w:b/>
          <w:i/>
          <w:sz w:val="28"/>
          <w:szCs w:val="28"/>
        </w:rPr>
        <w:t xml:space="preserve"> </w:t>
      </w:r>
      <w:r w:rsidRPr="00F421DC">
        <w:rPr>
          <w:rFonts w:eastAsia="Times New Roman" w:cs="Times New Roman"/>
          <w:b/>
          <w:sz w:val="28"/>
          <w:szCs w:val="28"/>
        </w:rPr>
        <w:t>Những thành tựu và hạn chế của hệ thống đại học tư thục Việt Nam</w:t>
      </w:r>
      <w:r w:rsidRPr="00F421DC">
        <w:rPr>
          <w:rFonts w:eastAsia="Times New Roman" w:cs="Times New Roman"/>
          <w:b/>
          <w:i/>
          <w:sz w:val="28"/>
          <w:szCs w:val="28"/>
        </w:rPr>
        <w:t xml:space="preserve"> </w:t>
      </w:r>
    </w:p>
    <w:p w:rsidR="001462A8" w:rsidRPr="00F421DC" w:rsidRDefault="008B33C2" w:rsidP="00F421DC">
      <w:pPr>
        <w:shd w:val="clear" w:color="auto" w:fill="FFFFFF"/>
        <w:spacing w:after="120" w:line="240" w:lineRule="auto"/>
        <w:ind w:firstLine="709"/>
        <w:jc w:val="both"/>
        <w:rPr>
          <w:rFonts w:eastAsia="Times New Roman" w:cs="Times New Roman"/>
          <w:sz w:val="28"/>
          <w:szCs w:val="28"/>
        </w:rPr>
      </w:pPr>
      <w:r w:rsidRPr="00F421DC">
        <w:rPr>
          <w:rFonts w:eastAsia="Times New Roman" w:cs="Times New Roman"/>
          <w:i/>
          <w:sz w:val="28"/>
          <w:szCs w:val="28"/>
        </w:rPr>
        <w:t>2.2.1. T</w:t>
      </w:r>
      <w:r w:rsidR="00166690" w:rsidRPr="00F421DC">
        <w:rPr>
          <w:rFonts w:eastAsia="Times New Roman" w:cs="Times New Roman"/>
          <w:i/>
          <w:sz w:val="28"/>
          <w:szCs w:val="28"/>
        </w:rPr>
        <w:t>hành tựu</w:t>
      </w:r>
    </w:p>
    <w:p w:rsidR="00166690" w:rsidRPr="00F421DC" w:rsidRDefault="00C34CC5" w:rsidP="00F421DC">
      <w:pPr>
        <w:shd w:val="clear" w:color="auto" w:fill="FFFFFF"/>
        <w:spacing w:after="120" w:line="240" w:lineRule="auto"/>
        <w:ind w:firstLine="709"/>
        <w:jc w:val="both"/>
        <w:rPr>
          <w:rFonts w:eastAsia="Times New Roman" w:cs="Times New Roman"/>
          <w:sz w:val="28"/>
          <w:szCs w:val="28"/>
        </w:rPr>
      </w:pPr>
      <w:r w:rsidRPr="00F421DC">
        <w:rPr>
          <w:rFonts w:eastAsia="Times New Roman" w:cs="Times New Roman"/>
          <w:sz w:val="28"/>
          <w:szCs w:val="28"/>
        </w:rPr>
        <w:t>Trong 25 năm qua, h</w:t>
      </w:r>
      <w:r w:rsidR="001462A8" w:rsidRPr="00F421DC">
        <w:rPr>
          <w:rFonts w:eastAsia="Times New Roman" w:cs="Times New Roman"/>
          <w:sz w:val="28"/>
          <w:szCs w:val="28"/>
        </w:rPr>
        <w:t xml:space="preserve">ệ thống </w:t>
      </w:r>
      <w:r w:rsidR="00166690" w:rsidRPr="00F421DC">
        <w:rPr>
          <w:rFonts w:eastAsia="Times New Roman" w:cs="Times New Roman"/>
          <w:sz w:val="28"/>
          <w:szCs w:val="28"/>
        </w:rPr>
        <w:t xml:space="preserve">ĐHTT đã đóng góp hàng trăm ngàn nhân lực có trình độ cao phục vụ sự </w:t>
      </w:r>
      <w:r w:rsidR="00CD6E02" w:rsidRPr="00F421DC">
        <w:rPr>
          <w:rFonts w:eastAsia="Times New Roman" w:cs="Times New Roman"/>
          <w:sz w:val="28"/>
          <w:szCs w:val="28"/>
        </w:rPr>
        <w:t>nghiệp công nghiệp hóa, hiện đại</w:t>
      </w:r>
      <w:r w:rsidR="00166690" w:rsidRPr="00F421DC">
        <w:rPr>
          <w:rFonts w:eastAsia="Times New Roman" w:cs="Times New Roman"/>
          <w:sz w:val="28"/>
          <w:szCs w:val="28"/>
        </w:rPr>
        <w:t xml:space="preserve"> hóa đất nước, </w:t>
      </w:r>
      <w:r w:rsidR="00B17026" w:rsidRPr="00F421DC">
        <w:rPr>
          <w:rFonts w:eastAsia="Times New Roman" w:cs="Times New Roman"/>
          <w:sz w:val="28"/>
          <w:szCs w:val="28"/>
        </w:rPr>
        <w:t xml:space="preserve">không chỉ giảm bớt gánh nặng đáng kể mà còn </w:t>
      </w:r>
      <w:r w:rsidR="00166690" w:rsidRPr="00F421DC">
        <w:rPr>
          <w:rFonts w:eastAsia="Times New Roman" w:cs="Times New Roman"/>
          <w:sz w:val="28"/>
          <w:szCs w:val="28"/>
        </w:rPr>
        <w:t xml:space="preserve">đóng góp </w:t>
      </w:r>
      <w:r w:rsidR="00B17026" w:rsidRPr="00F421DC">
        <w:rPr>
          <w:rFonts w:eastAsia="Times New Roman" w:cs="Times New Roman"/>
          <w:sz w:val="28"/>
          <w:szCs w:val="28"/>
        </w:rPr>
        <w:t xml:space="preserve">hàng trăm tỷ đồng </w:t>
      </w:r>
      <w:r w:rsidR="001462A8" w:rsidRPr="00F421DC">
        <w:rPr>
          <w:rFonts w:eastAsia="Times New Roman" w:cs="Times New Roman"/>
          <w:sz w:val="28"/>
          <w:szCs w:val="28"/>
        </w:rPr>
        <w:t>cho</w:t>
      </w:r>
      <w:r w:rsidR="00DE4EB0" w:rsidRPr="00F421DC">
        <w:rPr>
          <w:rFonts w:eastAsia="Times New Roman" w:cs="Times New Roman"/>
          <w:sz w:val="28"/>
          <w:szCs w:val="28"/>
        </w:rPr>
        <w:t xml:space="preserve"> ngân sách nhà nước</w:t>
      </w:r>
      <w:r w:rsidR="00B17026" w:rsidRPr="00F421DC">
        <w:rPr>
          <w:rFonts w:eastAsia="Times New Roman" w:cs="Times New Roman"/>
          <w:sz w:val="28"/>
          <w:szCs w:val="28"/>
        </w:rPr>
        <w:t xml:space="preserve"> (chỉ tính riêng năm 2016, 43 trường ĐHTT đã nộp ngân sách nhà nước 111 tỷ đồng [2])</w:t>
      </w:r>
      <w:r w:rsidR="001462A8" w:rsidRPr="00F421DC">
        <w:rPr>
          <w:rFonts w:eastAsia="Times New Roman" w:cs="Times New Roman"/>
          <w:sz w:val="28"/>
          <w:szCs w:val="28"/>
        </w:rPr>
        <w:t>. T</w:t>
      </w:r>
      <w:r w:rsidR="00166690" w:rsidRPr="00F421DC">
        <w:rPr>
          <w:rFonts w:eastAsia="Times New Roman" w:cs="Times New Roman"/>
          <w:sz w:val="28"/>
          <w:szCs w:val="28"/>
        </w:rPr>
        <w:t xml:space="preserve">rong số 60 trường ĐHTT, một số trường đã tạo dựng được uy tín về chất lượng trong xã hội, tạo ra môi trường cạnh tranh tích cực giữa các trường công lập và tư thục, một số trường ĐHTT được đánh giá là yếu kém đã được các tập đoàn có tiềm lực lớn mua lại và đầu tư phát triển sẽ </w:t>
      </w:r>
      <w:r w:rsidR="00DE4EB0" w:rsidRPr="00F421DC">
        <w:rPr>
          <w:rFonts w:eastAsia="Times New Roman" w:cs="Times New Roman"/>
          <w:sz w:val="28"/>
          <w:szCs w:val="28"/>
        </w:rPr>
        <w:t xml:space="preserve">sớm </w:t>
      </w:r>
      <w:r w:rsidR="00166690" w:rsidRPr="00F421DC">
        <w:rPr>
          <w:rFonts w:eastAsia="Times New Roman" w:cs="Times New Roman"/>
          <w:sz w:val="28"/>
          <w:szCs w:val="28"/>
        </w:rPr>
        <w:t>khắc phục được những lệch lạc trong phát triển mô hình ĐHTT tại Việt Nam, vv…</w:t>
      </w:r>
    </w:p>
    <w:p w:rsidR="008B33C2" w:rsidRPr="00F421DC" w:rsidRDefault="008B33C2" w:rsidP="00F421DC">
      <w:pPr>
        <w:shd w:val="clear" w:color="auto" w:fill="FFFFFF"/>
        <w:spacing w:after="120" w:line="240" w:lineRule="auto"/>
        <w:ind w:firstLine="709"/>
        <w:jc w:val="both"/>
        <w:rPr>
          <w:rFonts w:eastAsia="Times New Roman" w:cs="Times New Roman"/>
          <w:sz w:val="28"/>
          <w:szCs w:val="28"/>
        </w:rPr>
      </w:pPr>
      <w:r w:rsidRPr="00F421DC">
        <w:rPr>
          <w:rFonts w:eastAsia="Times New Roman" w:cs="Times New Roman"/>
          <w:i/>
          <w:sz w:val="28"/>
          <w:szCs w:val="28"/>
        </w:rPr>
        <w:lastRenderedPageBreak/>
        <w:t>2.2.2. T</w:t>
      </w:r>
      <w:r w:rsidR="00DE4EB0" w:rsidRPr="00F421DC">
        <w:rPr>
          <w:rFonts w:eastAsia="Times New Roman" w:cs="Times New Roman"/>
          <w:i/>
          <w:sz w:val="28"/>
          <w:szCs w:val="28"/>
        </w:rPr>
        <w:t>ồn tại và hạn chế</w:t>
      </w:r>
    </w:p>
    <w:p w:rsidR="00CC34B8" w:rsidRPr="00F421DC" w:rsidRDefault="008B33C2" w:rsidP="00F421DC">
      <w:pPr>
        <w:shd w:val="clear" w:color="auto" w:fill="FFFFFF"/>
        <w:spacing w:after="120" w:line="240" w:lineRule="auto"/>
        <w:ind w:firstLine="709"/>
        <w:jc w:val="both"/>
        <w:rPr>
          <w:rFonts w:eastAsia="Times New Roman" w:cs="Times New Roman"/>
          <w:iCs/>
          <w:sz w:val="28"/>
          <w:szCs w:val="28"/>
        </w:rPr>
      </w:pPr>
      <w:r w:rsidRPr="00F421DC">
        <w:rPr>
          <w:rFonts w:eastAsia="Times New Roman" w:cs="Times New Roman"/>
          <w:sz w:val="28"/>
          <w:szCs w:val="28"/>
        </w:rPr>
        <w:t xml:space="preserve">Về </w:t>
      </w:r>
      <w:r w:rsidR="00DE4EB0" w:rsidRPr="00F421DC">
        <w:rPr>
          <w:rFonts w:eastAsia="Times New Roman" w:cs="Times New Roman"/>
          <w:sz w:val="28"/>
          <w:szCs w:val="28"/>
        </w:rPr>
        <w:t>quy mô</w:t>
      </w:r>
      <w:r w:rsidRPr="00F421DC">
        <w:rPr>
          <w:rFonts w:eastAsia="Times New Roman" w:cs="Times New Roman"/>
          <w:sz w:val="28"/>
          <w:szCs w:val="28"/>
        </w:rPr>
        <w:t>:</w:t>
      </w:r>
      <w:r w:rsidR="00DE4EB0" w:rsidRPr="00F421DC">
        <w:rPr>
          <w:rFonts w:eastAsia="Times New Roman" w:cs="Times New Roman"/>
          <w:sz w:val="28"/>
          <w:szCs w:val="28"/>
        </w:rPr>
        <w:t xml:space="preserve"> hệ thống ĐHTT chỉ chiếm </w:t>
      </w:r>
      <w:r w:rsidR="001A61AB" w:rsidRPr="00F421DC">
        <w:rPr>
          <w:rFonts w:eastAsia="Times New Roman" w:cs="Times New Roman"/>
          <w:sz w:val="28"/>
          <w:szCs w:val="28"/>
        </w:rPr>
        <w:t>hơn 25</w:t>
      </w:r>
      <w:r w:rsidR="00C34CC5" w:rsidRPr="00F421DC">
        <w:rPr>
          <w:rFonts w:eastAsia="Times New Roman" w:cs="Times New Roman"/>
          <w:sz w:val="28"/>
          <w:szCs w:val="28"/>
        </w:rPr>
        <w:t>.4</w:t>
      </w:r>
      <w:r w:rsidR="001A61AB" w:rsidRPr="00F421DC">
        <w:rPr>
          <w:rFonts w:eastAsia="Times New Roman" w:cs="Times New Roman"/>
          <w:sz w:val="28"/>
          <w:szCs w:val="28"/>
        </w:rPr>
        <w:t>% trong tổng số các trường ĐH</w:t>
      </w:r>
      <w:r w:rsidR="00C34CC5" w:rsidRPr="00F421DC">
        <w:rPr>
          <w:rFonts w:eastAsia="Times New Roman" w:cs="Times New Roman"/>
          <w:sz w:val="28"/>
          <w:szCs w:val="28"/>
        </w:rPr>
        <w:t xml:space="preserve"> của cả nước</w:t>
      </w:r>
      <w:r w:rsidR="001A61AB" w:rsidRPr="00F421DC">
        <w:rPr>
          <w:rFonts w:eastAsia="Times New Roman" w:cs="Times New Roman"/>
          <w:sz w:val="28"/>
          <w:szCs w:val="28"/>
        </w:rPr>
        <w:t xml:space="preserve">, </w:t>
      </w:r>
      <w:r w:rsidR="00DE4EB0" w:rsidRPr="00F421DC">
        <w:rPr>
          <w:rFonts w:eastAsia="Times New Roman" w:cs="Times New Roman"/>
          <w:sz w:val="28"/>
          <w:szCs w:val="28"/>
        </w:rPr>
        <w:t xml:space="preserve">từ 12% đến hơn 13% </w:t>
      </w:r>
      <w:r w:rsidRPr="00F421DC">
        <w:rPr>
          <w:rFonts w:eastAsia="Times New Roman" w:cs="Times New Roman"/>
          <w:sz w:val="28"/>
          <w:szCs w:val="28"/>
        </w:rPr>
        <w:t>về số SV</w:t>
      </w:r>
      <w:r w:rsidR="0031564A" w:rsidRPr="00F421DC">
        <w:rPr>
          <w:rFonts w:eastAsia="Times New Roman" w:cs="Times New Roman"/>
          <w:sz w:val="28"/>
          <w:szCs w:val="28"/>
        </w:rPr>
        <w:t xml:space="preserve"> bậc ĐH</w:t>
      </w:r>
      <w:r w:rsidRPr="00F421DC">
        <w:rPr>
          <w:rFonts w:eastAsia="Times New Roman" w:cs="Times New Roman"/>
          <w:sz w:val="28"/>
          <w:szCs w:val="28"/>
        </w:rPr>
        <w:t xml:space="preserve"> </w:t>
      </w:r>
      <w:r w:rsidR="00DE4EB0" w:rsidRPr="00F421DC">
        <w:rPr>
          <w:rFonts w:eastAsia="Times New Roman" w:cs="Times New Roman"/>
          <w:sz w:val="28"/>
          <w:szCs w:val="28"/>
        </w:rPr>
        <w:t>trong nhiều năm qua</w:t>
      </w:r>
      <w:r w:rsidR="0031564A" w:rsidRPr="00F421DC">
        <w:rPr>
          <w:rFonts w:eastAsia="Times New Roman" w:cs="Times New Roman"/>
          <w:sz w:val="28"/>
          <w:szCs w:val="28"/>
        </w:rPr>
        <w:t xml:space="preserve"> và tăng nhẹ trong </w:t>
      </w:r>
      <w:r w:rsidR="00166690" w:rsidRPr="00F421DC">
        <w:rPr>
          <w:rFonts w:eastAsia="Times New Roman" w:cs="Times New Roman"/>
          <w:sz w:val="28"/>
          <w:szCs w:val="28"/>
        </w:rPr>
        <w:t>năm học 2017-2018</w:t>
      </w:r>
      <w:r w:rsidR="0031564A" w:rsidRPr="00F421DC">
        <w:rPr>
          <w:rFonts w:eastAsia="Times New Roman" w:cs="Times New Roman"/>
          <w:sz w:val="28"/>
          <w:szCs w:val="28"/>
        </w:rPr>
        <w:t xml:space="preserve"> (</w:t>
      </w:r>
      <w:r w:rsidR="00166690" w:rsidRPr="00F421DC">
        <w:rPr>
          <w:rFonts w:eastAsia="Times New Roman" w:cs="Times New Roman"/>
          <w:sz w:val="28"/>
          <w:szCs w:val="28"/>
        </w:rPr>
        <w:t>các trường ĐHTT đào tạo</w:t>
      </w:r>
      <w:r w:rsidR="0031564A" w:rsidRPr="00F421DC">
        <w:rPr>
          <w:rFonts w:eastAsia="Times New Roman" w:cs="Times New Roman"/>
          <w:sz w:val="28"/>
          <w:szCs w:val="28"/>
        </w:rPr>
        <w:t xml:space="preserve"> 267</w:t>
      </w:r>
      <w:r w:rsidR="00166690" w:rsidRPr="00F421DC">
        <w:rPr>
          <w:rFonts w:eastAsia="Times New Roman" w:cs="Times New Roman"/>
          <w:sz w:val="28"/>
          <w:szCs w:val="28"/>
        </w:rPr>
        <w:t>.</w:t>
      </w:r>
      <w:r w:rsidR="0031564A" w:rsidRPr="00F421DC">
        <w:rPr>
          <w:rFonts w:eastAsia="Times New Roman" w:cs="Times New Roman"/>
          <w:sz w:val="28"/>
          <w:szCs w:val="28"/>
        </w:rPr>
        <w:t>530</w:t>
      </w:r>
      <w:r w:rsidR="00166690" w:rsidRPr="00F421DC">
        <w:rPr>
          <w:rFonts w:eastAsia="Times New Roman" w:cs="Times New Roman"/>
          <w:sz w:val="28"/>
          <w:szCs w:val="28"/>
        </w:rPr>
        <w:t xml:space="preserve"> SV trong tổng số 1.7</w:t>
      </w:r>
      <w:r w:rsidR="0031564A" w:rsidRPr="00F421DC">
        <w:rPr>
          <w:rFonts w:eastAsia="Times New Roman" w:cs="Times New Roman"/>
          <w:sz w:val="28"/>
          <w:szCs w:val="28"/>
        </w:rPr>
        <w:t>07</w:t>
      </w:r>
      <w:r w:rsidR="00166690" w:rsidRPr="00F421DC">
        <w:rPr>
          <w:rFonts w:eastAsia="Times New Roman" w:cs="Times New Roman"/>
          <w:sz w:val="28"/>
          <w:szCs w:val="28"/>
        </w:rPr>
        <w:t>.</w:t>
      </w:r>
      <w:r w:rsidR="0031564A" w:rsidRPr="00F421DC">
        <w:rPr>
          <w:rFonts w:eastAsia="Times New Roman" w:cs="Times New Roman"/>
          <w:sz w:val="28"/>
          <w:szCs w:val="28"/>
        </w:rPr>
        <w:t>025</w:t>
      </w:r>
      <w:r w:rsidR="00166690" w:rsidRPr="00F421DC">
        <w:rPr>
          <w:rFonts w:eastAsia="Times New Roman" w:cs="Times New Roman"/>
          <w:sz w:val="28"/>
          <w:szCs w:val="28"/>
        </w:rPr>
        <w:t xml:space="preserve"> SV của cả nước, chiếm tỷ lệ 1</w:t>
      </w:r>
      <w:r w:rsidR="0031564A" w:rsidRPr="00F421DC">
        <w:rPr>
          <w:rFonts w:eastAsia="Times New Roman" w:cs="Times New Roman"/>
          <w:sz w:val="28"/>
          <w:szCs w:val="28"/>
        </w:rPr>
        <w:t>6</w:t>
      </w:r>
      <w:r w:rsidR="00166690" w:rsidRPr="00F421DC">
        <w:rPr>
          <w:rFonts w:eastAsia="Times New Roman" w:cs="Times New Roman"/>
          <w:sz w:val="28"/>
          <w:szCs w:val="28"/>
        </w:rPr>
        <w:t>%</w:t>
      </w:r>
      <w:r w:rsidR="001A61AB" w:rsidRPr="00F421DC">
        <w:rPr>
          <w:rFonts w:eastAsia="Times New Roman" w:cs="Times New Roman"/>
          <w:sz w:val="28"/>
          <w:szCs w:val="28"/>
        </w:rPr>
        <w:t xml:space="preserve">, không tính các trường thuộc khối </w:t>
      </w:r>
      <w:r w:rsidR="00F66CAE">
        <w:rPr>
          <w:rFonts w:eastAsia="Times New Roman" w:cs="Times New Roman"/>
          <w:sz w:val="28"/>
          <w:szCs w:val="28"/>
        </w:rPr>
        <w:t>A</w:t>
      </w:r>
      <w:r w:rsidR="001A61AB" w:rsidRPr="00F421DC">
        <w:rPr>
          <w:rFonts w:eastAsia="Times New Roman" w:cs="Times New Roman"/>
          <w:sz w:val="28"/>
          <w:szCs w:val="28"/>
        </w:rPr>
        <w:t xml:space="preserve">n ninh – </w:t>
      </w:r>
      <w:r w:rsidR="00F66CAE">
        <w:rPr>
          <w:rFonts w:eastAsia="Times New Roman" w:cs="Times New Roman"/>
          <w:sz w:val="28"/>
          <w:szCs w:val="28"/>
        </w:rPr>
        <w:t>Q</w:t>
      </w:r>
      <w:r w:rsidR="001A61AB" w:rsidRPr="00F421DC">
        <w:rPr>
          <w:rFonts w:eastAsia="Times New Roman" w:cs="Times New Roman"/>
          <w:sz w:val="28"/>
          <w:szCs w:val="28"/>
        </w:rPr>
        <w:t>uốc phòng</w:t>
      </w:r>
      <w:r w:rsidRPr="00F421DC">
        <w:rPr>
          <w:rFonts w:eastAsia="Times New Roman" w:cs="Times New Roman"/>
          <w:sz w:val="28"/>
          <w:szCs w:val="28"/>
        </w:rPr>
        <w:t xml:space="preserve"> [</w:t>
      </w:r>
      <w:r w:rsidR="0055795A" w:rsidRPr="00F421DC">
        <w:rPr>
          <w:rFonts w:eastAsia="Times New Roman" w:cs="Times New Roman"/>
          <w:sz w:val="28"/>
          <w:szCs w:val="28"/>
        </w:rPr>
        <w:t>3</w:t>
      </w:r>
      <w:r w:rsidRPr="00F421DC">
        <w:rPr>
          <w:rFonts w:eastAsia="Times New Roman" w:cs="Times New Roman"/>
          <w:sz w:val="28"/>
          <w:szCs w:val="28"/>
        </w:rPr>
        <w:t>]).</w:t>
      </w:r>
      <w:r w:rsidR="008024DD" w:rsidRPr="00F421DC">
        <w:rPr>
          <w:rFonts w:eastAsia="Times New Roman" w:cs="Times New Roman"/>
          <w:sz w:val="28"/>
          <w:szCs w:val="28"/>
        </w:rPr>
        <w:t xml:space="preserve"> Tỷ lệ này thấp hơn rất nhiều so với tỷ lệ SV </w:t>
      </w:r>
      <w:r w:rsidR="00964C38" w:rsidRPr="00F421DC">
        <w:rPr>
          <w:rFonts w:eastAsia="Times New Roman" w:cs="Times New Roman"/>
          <w:sz w:val="28"/>
          <w:szCs w:val="28"/>
        </w:rPr>
        <w:t>tư thục/ tổng số SV</w:t>
      </w:r>
      <w:r w:rsidR="008024DD" w:rsidRPr="00F421DC">
        <w:rPr>
          <w:rFonts w:eastAsia="Times New Roman" w:cs="Times New Roman"/>
          <w:sz w:val="28"/>
          <w:szCs w:val="28"/>
        </w:rPr>
        <w:t xml:space="preserve"> của </w:t>
      </w:r>
      <w:r w:rsidRPr="00F421DC">
        <w:rPr>
          <w:rFonts w:eastAsia="Times New Roman" w:cs="Times New Roman"/>
          <w:iCs/>
          <w:sz w:val="28"/>
          <w:szCs w:val="28"/>
        </w:rPr>
        <w:t>các nước có nền GDĐH phát triển trong khu vực và trên thế giới</w:t>
      </w:r>
      <w:r w:rsidR="008024DD" w:rsidRPr="00F421DC">
        <w:rPr>
          <w:rFonts w:eastAsia="Times New Roman" w:cs="Times New Roman"/>
          <w:iCs/>
          <w:sz w:val="28"/>
          <w:szCs w:val="28"/>
        </w:rPr>
        <w:t xml:space="preserve"> như </w:t>
      </w:r>
      <w:r w:rsidR="002F7B19" w:rsidRPr="00F421DC">
        <w:rPr>
          <w:rFonts w:eastAsia="Times New Roman" w:cs="Times New Roman"/>
          <w:iCs/>
          <w:sz w:val="28"/>
          <w:szCs w:val="28"/>
        </w:rPr>
        <w:t xml:space="preserve">Singapore (61.8%), </w:t>
      </w:r>
      <w:r w:rsidR="008024DD" w:rsidRPr="00F421DC">
        <w:rPr>
          <w:rFonts w:eastAsia="Times New Roman" w:cs="Times New Roman"/>
          <w:iCs/>
          <w:sz w:val="28"/>
          <w:szCs w:val="28"/>
        </w:rPr>
        <w:t>Malaysia (43.1%), Hàn Quốc (80.7%), Nhật Bản  (78.6%%), Hoa Kỳ (</w:t>
      </w:r>
      <w:r w:rsidR="002F7B19" w:rsidRPr="00F421DC">
        <w:rPr>
          <w:rFonts w:eastAsia="Times New Roman" w:cs="Times New Roman"/>
          <w:iCs/>
          <w:sz w:val="28"/>
          <w:szCs w:val="28"/>
        </w:rPr>
        <w:t>27.5%</w:t>
      </w:r>
      <w:r w:rsidR="001A61AB" w:rsidRPr="00F421DC">
        <w:rPr>
          <w:rFonts w:eastAsia="Times New Roman" w:cs="Times New Roman"/>
          <w:iCs/>
          <w:sz w:val="28"/>
          <w:szCs w:val="28"/>
        </w:rPr>
        <w:t>);</w:t>
      </w:r>
      <w:r w:rsidR="00964C38" w:rsidRPr="00F421DC">
        <w:rPr>
          <w:rFonts w:eastAsia="Times New Roman" w:cs="Times New Roman"/>
          <w:iCs/>
          <w:sz w:val="28"/>
          <w:szCs w:val="28"/>
        </w:rPr>
        <w:t xml:space="preserve"> thấp hơn tỷ lệ trung bình chung SV tư thục/ tổng số SV của Châu Á nói chung (42.1%)</w:t>
      </w:r>
      <w:r w:rsidR="008024DD" w:rsidRPr="00F421DC">
        <w:rPr>
          <w:rFonts w:eastAsia="Times New Roman" w:cs="Times New Roman"/>
          <w:iCs/>
          <w:sz w:val="28"/>
          <w:szCs w:val="28"/>
        </w:rPr>
        <w:t xml:space="preserve"> </w:t>
      </w:r>
      <w:r w:rsidR="00964C38" w:rsidRPr="00F421DC">
        <w:rPr>
          <w:rFonts w:eastAsia="Times New Roman" w:cs="Times New Roman"/>
          <w:iCs/>
          <w:sz w:val="28"/>
          <w:szCs w:val="28"/>
        </w:rPr>
        <w:t>và Đông Nam Á nói riêng (41.8%)</w:t>
      </w:r>
      <w:r w:rsidR="00CC34B8" w:rsidRPr="00F421DC">
        <w:rPr>
          <w:rFonts w:eastAsia="Times New Roman" w:cs="Times New Roman"/>
          <w:iCs/>
          <w:sz w:val="28"/>
          <w:szCs w:val="28"/>
        </w:rPr>
        <w:t xml:space="preserve"> [</w:t>
      </w:r>
      <w:r w:rsidR="0063265F" w:rsidRPr="00F421DC">
        <w:rPr>
          <w:rFonts w:eastAsia="Times New Roman" w:cs="Times New Roman"/>
          <w:iCs/>
          <w:sz w:val="28"/>
          <w:szCs w:val="28"/>
        </w:rPr>
        <w:t>8</w:t>
      </w:r>
      <w:r w:rsidR="00CC34B8" w:rsidRPr="00F421DC">
        <w:rPr>
          <w:rFonts w:eastAsia="Times New Roman" w:cs="Times New Roman"/>
          <w:iCs/>
          <w:sz w:val="28"/>
          <w:szCs w:val="28"/>
        </w:rPr>
        <w:t>]</w:t>
      </w:r>
      <w:r w:rsidR="00561560" w:rsidRPr="00F421DC">
        <w:rPr>
          <w:rFonts w:eastAsia="Times New Roman" w:cs="Times New Roman"/>
          <w:iCs/>
          <w:sz w:val="28"/>
          <w:szCs w:val="28"/>
        </w:rPr>
        <w:t xml:space="preserve">. </w:t>
      </w:r>
      <w:r w:rsidR="009D0182" w:rsidRPr="00F421DC">
        <w:rPr>
          <w:rFonts w:eastAsia="Times New Roman" w:cs="Times New Roman"/>
          <w:iCs/>
          <w:sz w:val="28"/>
          <w:szCs w:val="28"/>
        </w:rPr>
        <w:t xml:space="preserve">Đến nay, chưa có trường ĐHTT nào của Việt Nam mở cơ sở </w:t>
      </w:r>
      <w:r w:rsidR="002E2895" w:rsidRPr="00F421DC">
        <w:rPr>
          <w:rFonts w:eastAsia="Times New Roman" w:cs="Times New Roman"/>
          <w:iCs/>
          <w:sz w:val="28"/>
          <w:szCs w:val="28"/>
        </w:rPr>
        <w:t xml:space="preserve">đào tạo hay nghiên cứu </w:t>
      </w:r>
      <w:r w:rsidR="009D0182" w:rsidRPr="00F421DC">
        <w:rPr>
          <w:rFonts w:eastAsia="Times New Roman" w:cs="Times New Roman"/>
          <w:iCs/>
          <w:sz w:val="28"/>
          <w:szCs w:val="28"/>
        </w:rPr>
        <w:t>ở nước ngoài.</w:t>
      </w:r>
    </w:p>
    <w:p w:rsidR="00F322A0" w:rsidRPr="00F421DC" w:rsidRDefault="00CC34B8" w:rsidP="00F421DC">
      <w:pPr>
        <w:shd w:val="clear" w:color="auto" w:fill="FFFFFF"/>
        <w:spacing w:after="120" w:line="240" w:lineRule="auto"/>
        <w:ind w:firstLine="709"/>
        <w:jc w:val="both"/>
        <w:rPr>
          <w:rFonts w:eastAsia="Times New Roman" w:cs="Times New Roman"/>
          <w:sz w:val="28"/>
          <w:szCs w:val="28"/>
        </w:rPr>
      </w:pPr>
      <w:r w:rsidRPr="00F421DC">
        <w:rPr>
          <w:rFonts w:eastAsia="Times New Roman" w:cs="Times New Roman"/>
          <w:sz w:val="28"/>
          <w:szCs w:val="28"/>
        </w:rPr>
        <w:t xml:space="preserve">Về </w:t>
      </w:r>
      <w:r w:rsidR="00DE4EB0" w:rsidRPr="00F421DC">
        <w:rPr>
          <w:rFonts w:eastAsia="Times New Roman" w:cs="Times New Roman"/>
          <w:sz w:val="28"/>
          <w:szCs w:val="28"/>
        </w:rPr>
        <w:t>chất lượng</w:t>
      </w:r>
      <w:r w:rsidRPr="00F421DC">
        <w:rPr>
          <w:rFonts w:eastAsia="Times New Roman" w:cs="Times New Roman"/>
          <w:sz w:val="28"/>
          <w:szCs w:val="28"/>
        </w:rPr>
        <w:t>: chất lượng</w:t>
      </w:r>
      <w:r w:rsidR="00F322A0" w:rsidRPr="00F421DC">
        <w:rPr>
          <w:rFonts w:eastAsia="Times New Roman" w:cs="Times New Roman"/>
          <w:sz w:val="28"/>
          <w:szCs w:val="28"/>
        </w:rPr>
        <w:t xml:space="preserve">, hiệu quả </w:t>
      </w:r>
      <w:r w:rsidR="00E540A8" w:rsidRPr="00F421DC">
        <w:rPr>
          <w:rFonts w:eastAsia="Times New Roman" w:cs="Times New Roman"/>
          <w:sz w:val="28"/>
          <w:szCs w:val="28"/>
        </w:rPr>
        <w:t xml:space="preserve">GD&amp;ĐT của hệ thống ĐHTT </w:t>
      </w:r>
      <w:r w:rsidR="00F322A0" w:rsidRPr="00F421DC">
        <w:rPr>
          <w:rFonts w:eastAsia="Times New Roman" w:cs="Times New Roman"/>
          <w:sz w:val="28"/>
          <w:szCs w:val="28"/>
        </w:rPr>
        <w:t xml:space="preserve">còn thấp so với yêu cầu </w:t>
      </w:r>
      <w:r w:rsidRPr="00F421DC">
        <w:rPr>
          <w:rFonts w:eastAsia="Times New Roman" w:cs="Times New Roman"/>
          <w:sz w:val="28"/>
          <w:szCs w:val="28"/>
        </w:rPr>
        <w:t>[</w:t>
      </w:r>
      <w:r w:rsidR="0055795A" w:rsidRPr="00F421DC">
        <w:rPr>
          <w:rFonts w:eastAsia="Times New Roman" w:cs="Times New Roman"/>
          <w:sz w:val="28"/>
          <w:szCs w:val="28"/>
        </w:rPr>
        <w:t>1</w:t>
      </w:r>
      <w:r w:rsidRPr="00F421DC">
        <w:rPr>
          <w:rFonts w:eastAsia="Times New Roman" w:cs="Times New Roman"/>
          <w:sz w:val="28"/>
          <w:szCs w:val="28"/>
        </w:rPr>
        <w:t>]</w:t>
      </w:r>
      <w:r w:rsidR="002E2895" w:rsidRPr="00F421DC">
        <w:rPr>
          <w:rFonts w:eastAsia="Times New Roman" w:cs="Times New Roman"/>
          <w:sz w:val="28"/>
          <w:szCs w:val="28"/>
        </w:rPr>
        <w:t>, năng lực đào tạo bậc sau ĐH còn hạn chế (năm học 2017 – 2018, đào tạo thạc sĩ chiếm 13%, tiến sĩ chiếm chỉ 2% trong tổng số học viên, nghiên cứu sinh của cả nước [3])</w:t>
      </w:r>
      <w:r w:rsidR="00A26ADC" w:rsidRPr="00F421DC">
        <w:rPr>
          <w:rFonts w:eastAsia="Times New Roman" w:cs="Times New Roman"/>
          <w:sz w:val="28"/>
          <w:szCs w:val="28"/>
        </w:rPr>
        <w:t>; đ</w:t>
      </w:r>
      <w:r w:rsidRPr="00F421DC">
        <w:rPr>
          <w:rFonts w:eastAsia="Times New Roman" w:cs="Times New Roman"/>
          <w:sz w:val="28"/>
          <w:szCs w:val="28"/>
        </w:rPr>
        <w:t xml:space="preserve">ến nay, </w:t>
      </w:r>
      <w:r w:rsidR="00DE4EB0" w:rsidRPr="00F421DC">
        <w:rPr>
          <w:rFonts w:eastAsia="Times New Roman" w:cs="Times New Roman"/>
          <w:iCs/>
          <w:sz w:val="28"/>
          <w:szCs w:val="28"/>
        </w:rPr>
        <w:t xml:space="preserve">chưa có trường ĐHTT nào </w:t>
      </w:r>
      <w:r w:rsidR="00A26ADC" w:rsidRPr="00F421DC">
        <w:rPr>
          <w:rFonts w:eastAsia="Times New Roman" w:cs="Times New Roman"/>
          <w:iCs/>
          <w:sz w:val="28"/>
          <w:szCs w:val="28"/>
        </w:rPr>
        <w:t xml:space="preserve">của Việt Nam </w:t>
      </w:r>
      <w:r w:rsidR="00DE4EB0" w:rsidRPr="00F421DC">
        <w:rPr>
          <w:rFonts w:eastAsia="Times New Roman" w:cs="Times New Roman"/>
          <w:iCs/>
          <w:sz w:val="28"/>
          <w:szCs w:val="28"/>
        </w:rPr>
        <w:t xml:space="preserve">có </w:t>
      </w:r>
      <w:r w:rsidR="00F66CAE">
        <w:rPr>
          <w:rFonts w:eastAsia="Times New Roman" w:cs="Times New Roman"/>
          <w:iCs/>
          <w:sz w:val="28"/>
          <w:szCs w:val="28"/>
        </w:rPr>
        <w:t>tên</w:t>
      </w:r>
      <w:r w:rsidR="00DE4EB0" w:rsidRPr="00F421DC">
        <w:rPr>
          <w:rFonts w:eastAsia="Times New Roman" w:cs="Times New Roman"/>
          <w:iCs/>
          <w:sz w:val="28"/>
          <w:szCs w:val="28"/>
        </w:rPr>
        <w:t xml:space="preserve"> trong các trường ĐH hàng đầu của khu vực theo các </w:t>
      </w:r>
      <w:r w:rsidR="00DE4EB0" w:rsidRPr="00F421DC">
        <w:rPr>
          <w:rFonts w:eastAsia="Times New Roman" w:cs="Times New Roman"/>
          <w:sz w:val="28"/>
          <w:szCs w:val="28"/>
        </w:rPr>
        <w:t xml:space="preserve">bảng xếp hạng ĐH có uy tín của thế giới, </w:t>
      </w:r>
      <w:r w:rsidR="002E2895" w:rsidRPr="00F421DC">
        <w:rPr>
          <w:rFonts w:eastAsia="Times New Roman" w:cs="Times New Roman"/>
          <w:sz w:val="28"/>
          <w:szCs w:val="28"/>
        </w:rPr>
        <w:t>mới chỉ có 05 ngành đào tạo</w:t>
      </w:r>
      <w:r w:rsidR="00A26ADC" w:rsidRPr="00F421DC">
        <w:rPr>
          <w:rFonts w:eastAsia="Times New Roman" w:cs="Times New Roman"/>
          <w:sz w:val="28"/>
          <w:szCs w:val="28"/>
        </w:rPr>
        <w:t xml:space="preserve"> của các trường ĐHTT được các tổ chức kiểm định quốc tế công nhật đạt tiêu chuẩn chất lượng</w:t>
      </w:r>
      <w:r w:rsidR="002E2895" w:rsidRPr="00F421DC">
        <w:rPr>
          <w:rFonts w:eastAsia="Times New Roman" w:cs="Times New Roman"/>
          <w:sz w:val="28"/>
          <w:szCs w:val="28"/>
        </w:rPr>
        <w:t xml:space="preserve"> (theo dữ liệu cập nhật đến ngày 31/12/2018 tại trang thông tin điện tử của Bộ GD&amp;ĐT)</w:t>
      </w:r>
      <w:r w:rsidR="00A26ADC" w:rsidRPr="00F421DC">
        <w:rPr>
          <w:rFonts w:eastAsia="Times New Roman" w:cs="Times New Roman"/>
          <w:sz w:val="28"/>
          <w:szCs w:val="28"/>
        </w:rPr>
        <w:t xml:space="preserve">. </w:t>
      </w:r>
      <w:r w:rsidR="005A3F19" w:rsidRPr="00F421DC">
        <w:rPr>
          <w:rFonts w:eastAsia="Times New Roman" w:cs="Times New Roman"/>
          <w:sz w:val="28"/>
          <w:szCs w:val="28"/>
        </w:rPr>
        <w:t xml:space="preserve">Từ đó, có thể khẳng định rằng chất lượng của hệ thống ĐHTT Việt Nam còn có khoảng cách rất xa </w:t>
      </w:r>
      <w:r w:rsidR="00F66CAE">
        <w:rPr>
          <w:rFonts w:eastAsia="Times New Roman" w:cs="Times New Roman"/>
          <w:sz w:val="28"/>
          <w:szCs w:val="28"/>
        </w:rPr>
        <w:t xml:space="preserve">không chỉ </w:t>
      </w:r>
      <w:r w:rsidR="005A3F19" w:rsidRPr="00F421DC">
        <w:rPr>
          <w:rFonts w:eastAsia="Times New Roman" w:cs="Times New Roman"/>
          <w:sz w:val="28"/>
          <w:szCs w:val="28"/>
        </w:rPr>
        <w:t xml:space="preserve">so với hệ thống ĐHTT Mỹ với </w:t>
      </w:r>
      <w:r w:rsidR="005A3F19" w:rsidRPr="00F421DC">
        <w:rPr>
          <w:rFonts w:eastAsia="Times New Roman" w:cs="Times New Roman"/>
          <w:iCs/>
          <w:sz w:val="28"/>
          <w:szCs w:val="28"/>
        </w:rPr>
        <w:t xml:space="preserve">các trường ĐHTT hàng đầu thế giới </w:t>
      </w:r>
      <w:r w:rsidRPr="00F421DC">
        <w:rPr>
          <w:rFonts w:eastAsia="Times New Roman" w:cs="Times New Roman"/>
          <w:sz w:val="28"/>
          <w:szCs w:val="28"/>
        </w:rPr>
        <w:t>như Đại học Harvard, Đại học Princeton, Đại học Yale, Đại học Columbia, Đại học Stanford, Đại học</w:t>
      </w:r>
      <w:r w:rsidR="005A3F19" w:rsidRPr="00F421DC">
        <w:rPr>
          <w:rFonts w:eastAsia="Times New Roman" w:cs="Times New Roman"/>
          <w:sz w:val="28"/>
          <w:szCs w:val="28"/>
        </w:rPr>
        <w:t xml:space="preserve"> Duke,….hay Nhật Bản mà còn cả quốc gia trong khối ASEAN như Malaysia với 05 ĐHTT/13 ĐH hàng đầu thế giới và 11 ĐHTT/27 ĐH hàng đầu Châu Á theo bảng xếp hạng của QS</w:t>
      </w:r>
      <w:r w:rsidR="00F322A0" w:rsidRPr="00F421DC">
        <w:rPr>
          <w:rFonts w:eastAsia="Times New Roman" w:cs="Times New Roman"/>
          <w:sz w:val="28"/>
          <w:szCs w:val="28"/>
        </w:rPr>
        <w:t xml:space="preserve"> tại website </w:t>
      </w:r>
      <w:hyperlink r:id="rId8" w:history="1">
        <w:r w:rsidR="00F322A0" w:rsidRPr="00F421DC">
          <w:rPr>
            <w:rStyle w:val="Hyperlink"/>
            <w:rFonts w:eastAsia="Times New Roman" w:cs="Times New Roman"/>
            <w:color w:val="auto"/>
            <w:sz w:val="28"/>
            <w:szCs w:val="28"/>
          </w:rPr>
          <w:t>https://www.topuniversities.com</w:t>
        </w:r>
      </w:hyperlink>
      <w:r w:rsidR="00F322A0" w:rsidRPr="00F421DC">
        <w:rPr>
          <w:rFonts w:eastAsia="Times New Roman" w:cs="Times New Roman"/>
          <w:sz w:val="28"/>
          <w:szCs w:val="28"/>
        </w:rPr>
        <w:t>.</w:t>
      </w:r>
    </w:p>
    <w:p w:rsidR="001A5BE2" w:rsidRPr="00F421DC" w:rsidRDefault="00FB3980" w:rsidP="00F421DC">
      <w:pPr>
        <w:shd w:val="clear" w:color="auto" w:fill="FFFFFF"/>
        <w:spacing w:after="120" w:line="240" w:lineRule="auto"/>
        <w:ind w:firstLine="709"/>
        <w:jc w:val="both"/>
        <w:rPr>
          <w:rFonts w:eastAsia="Times New Roman" w:cs="Times New Roman"/>
          <w:sz w:val="28"/>
          <w:szCs w:val="28"/>
        </w:rPr>
      </w:pPr>
      <w:r w:rsidRPr="00F421DC">
        <w:rPr>
          <w:rFonts w:eastAsia="Times New Roman" w:cs="Times New Roman"/>
          <w:sz w:val="28"/>
          <w:szCs w:val="28"/>
        </w:rPr>
        <w:t xml:space="preserve">Nguyên nhân </w:t>
      </w:r>
      <w:r w:rsidR="00F66CAE">
        <w:rPr>
          <w:rFonts w:eastAsia="Times New Roman" w:cs="Times New Roman"/>
          <w:sz w:val="28"/>
          <w:szCs w:val="28"/>
        </w:rPr>
        <w:t xml:space="preserve">chủ yếu </w:t>
      </w:r>
      <w:r w:rsidRPr="00F421DC">
        <w:rPr>
          <w:rFonts w:eastAsia="Times New Roman" w:cs="Times New Roman"/>
          <w:sz w:val="28"/>
          <w:szCs w:val="28"/>
        </w:rPr>
        <w:t xml:space="preserve">của tồn tại và hạn chế đã được khẳng </w:t>
      </w:r>
      <w:r w:rsidR="001A5BE2" w:rsidRPr="00F421DC">
        <w:rPr>
          <w:rFonts w:eastAsia="Times New Roman" w:cs="Times New Roman"/>
          <w:sz w:val="28"/>
          <w:szCs w:val="28"/>
        </w:rPr>
        <w:t>định trong các báo cáo Hiệp hội các trường ĐH, CĐ Việt Nam năm 2013 [</w:t>
      </w:r>
      <w:r w:rsidR="0055795A" w:rsidRPr="00F421DC">
        <w:rPr>
          <w:rFonts w:eastAsia="Times New Roman" w:cs="Times New Roman"/>
          <w:sz w:val="28"/>
          <w:szCs w:val="28"/>
        </w:rPr>
        <w:t>5</w:t>
      </w:r>
      <w:r w:rsidR="001A5BE2" w:rsidRPr="00F421DC">
        <w:rPr>
          <w:rFonts w:eastAsia="Times New Roman" w:cs="Times New Roman"/>
          <w:sz w:val="28"/>
          <w:szCs w:val="28"/>
        </w:rPr>
        <w:t>], Bộ GD&amp;ĐT năm 2017 [</w:t>
      </w:r>
      <w:r w:rsidR="0055795A" w:rsidRPr="00F421DC">
        <w:rPr>
          <w:rFonts w:eastAsia="Times New Roman" w:cs="Times New Roman"/>
          <w:sz w:val="28"/>
          <w:szCs w:val="28"/>
        </w:rPr>
        <w:t>2</w:t>
      </w:r>
      <w:r w:rsidR="001A5BE2" w:rsidRPr="00F421DC">
        <w:rPr>
          <w:rFonts w:eastAsia="Times New Roman" w:cs="Times New Roman"/>
          <w:sz w:val="28"/>
          <w:szCs w:val="28"/>
        </w:rPr>
        <w:t>]</w:t>
      </w:r>
      <w:r w:rsidR="0088306E" w:rsidRPr="00F421DC">
        <w:rPr>
          <w:rFonts w:eastAsia="Times New Roman" w:cs="Times New Roman"/>
          <w:sz w:val="28"/>
          <w:szCs w:val="28"/>
        </w:rPr>
        <w:t xml:space="preserve"> gồm i) nguyên nhân khách quan: một số</w:t>
      </w:r>
      <w:r w:rsidR="003428F1" w:rsidRPr="00F421DC">
        <w:rPr>
          <w:rFonts w:eastAsia="Times New Roman" w:cs="Times New Roman"/>
          <w:sz w:val="28"/>
          <w:szCs w:val="28"/>
        </w:rPr>
        <w:t xml:space="preserve"> </w:t>
      </w:r>
      <w:r w:rsidR="001A5BE2" w:rsidRPr="00F421DC">
        <w:rPr>
          <w:rFonts w:eastAsia="Times New Roman" w:cs="Times New Roman"/>
          <w:sz w:val="28"/>
          <w:szCs w:val="28"/>
        </w:rPr>
        <w:t>cơ chế và chính sách chưa phù hợp</w:t>
      </w:r>
      <w:r w:rsidR="0088306E" w:rsidRPr="00F421DC">
        <w:rPr>
          <w:rFonts w:eastAsia="Times New Roman" w:cs="Times New Roman"/>
          <w:sz w:val="28"/>
          <w:szCs w:val="28"/>
        </w:rPr>
        <w:t xml:space="preserve"> với thực tiễn và</w:t>
      </w:r>
      <w:r w:rsidR="001A5BE2" w:rsidRPr="00F421DC">
        <w:rPr>
          <w:rFonts w:eastAsia="Times New Roman" w:cs="Times New Roman"/>
          <w:sz w:val="28"/>
          <w:szCs w:val="28"/>
        </w:rPr>
        <w:t xml:space="preserve"> chậm đổi mới, </w:t>
      </w:r>
      <w:r w:rsidR="0088306E" w:rsidRPr="00F421DC">
        <w:rPr>
          <w:rFonts w:eastAsia="Times New Roman" w:cs="Times New Roman"/>
          <w:sz w:val="28"/>
          <w:szCs w:val="28"/>
        </w:rPr>
        <w:t xml:space="preserve">một số cơ chế và chính sách </w:t>
      </w:r>
      <w:r w:rsidR="00312742" w:rsidRPr="00F421DC">
        <w:rPr>
          <w:rFonts w:eastAsia="Times New Roman" w:cs="Times New Roman"/>
          <w:sz w:val="28"/>
          <w:szCs w:val="28"/>
        </w:rPr>
        <w:t>chậm được triển khai</w:t>
      </w:r>
      <w:r w:rsidR="001A5BE2" w:rsidRPr="00F421DC">
        <w:rPr>
          <w:rFonts w:eastAsia="Times New Roman" w:cs="Times New Roman"/>
          <w:sz w:val="28"/>
          <w:szCs w:val="28"/>
        </w:rPr>
        <w:t>; ii) nguyên nhân chủ quan: các điều kiện đảm bảo chất lượng của hệ thống các trường ĐHTT chưa đáp ứng được yêu cầu theo quy định</w:t>
      </w:r>
      <w:r w:rsidR="003428F1" w:rsidRPr="00F421DC">
        <w:rPr>
          <w:rFonts w:eastAsia="Times New Roman" w:cs="Times New Roman"/>
          <w:sz w:val="28"/>
          <w:szCs w:val="28"/>
        </w:rPr>
        <w:t xml:space="preserve"> của các cơ quan quản lý nhà nước về GD&amp;ĐT.</w:t>
      </w:r>
      <w:r w:rsidR="001A5BE2" w:rsidRPr="00F421DC">
        <w:rPr>
          <w:rFonts w:eastAsia="Times New Roman" w:cs="Times New Roman"/>
          <w:sz w:val="28"/>
          <w:szCs w:val="28"/>
        </w:rPr>
        <w:t xml:space="preserve"> </w:t>
      </w:r>
    </w:p>
    <w:p w:rsidR="002E5664" w:rsidRPr="00F421DC" w:rsidRDefault="00DC6905" w:rsidP="00F421DC">
      <w:pPr>
        <w:shd w:val="clear" w:color="auto" w:fill="FFFFFF"/>
        <w:spacing w:after="120" w:line="240" w:lineRule="auto"/>
        <w:ind w:firstLine="709"/>
        <w:jc w:val="both"/>
        <w:rPr>
          <w:rFonts w:eastAsia="Times New Roman" w:cs="Times New Roman"/>
          <w:b/>
          <w:sz w:val="28"/>
          <w:szCs w:val="28"/>
        </w:rPr>
      </w:pPr>
      <w:r w:rsidRPr="00F421DC">
        <w:rPr>
          <w:rFonts w:eastAsia="Times New Roman" w:cs="Times New Roman"/>
          <w:b/>
          <w:sz w:val="28"/>
          <w:szCs w:val="28"/>
        </w:rPr>
        <w:t>2</w:t>
      </w:r>
      <w:r w:rsidR="00A32150" w:rsidRPr="00F421DC">
        <w:rPr>
          <w:rFonts w:eastAsia="Times New Roman" w:cs="Times New Roman"/>
          <w:b/>
          <w:sz w:val="28"/>
          <w:szCs w:val="28"/>
        </w:rPr>
        <w:t>.3</w:t>
      </w:r>
      <w:r w:rsidRPr="00F421DC">
        <w:rPr>
          <w:rFonts w:eastAsia="Times New Roman" w:cs="Times New Roman"/>
          <w:b/>
          <w:sz w:val="28"/>
          <w:szCs w:val="28"/>
        </w:rPr>
        <w:t xml:space="preserve">. </w:t>
      </w:r>
      <w:r w:rsidR="00A32150" w:rsidRPr="00F421DC">
        <w:rPr>
          <w:rFonts w:eastAsia="Times New Roman" w:cs="Times New Roman"/>
          <w:b/>
          <w:sz w:val="28"/>
          <w:szCs w:val="28"/>
        </w:rPr>
        <w:t>Giải pháp phát triển hệ thống đại học tư thục</w:t>
      </w:r>
      <w:r w:rsidR="002E5664" w:rsidRPr="00F421DC">
        <w:rPr>
          <w:rFonts w:eastAsia="Times New Roman" w:cs="Times New Roman"/>
          <w:b/>
          <w:sz w:val="28"/>
          <w:szCs w:val="28"/>
        </w:rPr>
        <w:t xml:space="preserve"> Việt Nam</w:t>
      </w:r>
    </w:p>
    <w:p w:rsidR="008F72A7" w:rsidRPr="00F421DC" w:rsidRDefault="00DE0715" w:rsidP="00F421DC">
      <w:pPr>
        <w:spacing w:after="120" w:line="240" w:lineRule="auto"/>
        <w:ind w:firstLine="720"/>
        <w:contextualSpacing/>
        <w:jc w:val="both"/>
        <w:rPr>
          <w:rFonts w:eastAsia="Calibri" w:cs="Times New Roman"/>
          <w:sz w:val="28"/>
          <w:szCs w:val="28"/>
        </w:rPr>
      </w:pPr>
      <w:r w:rsidRPr="00F421DC">
        <w:rPr>
          <w:rFonts w:eastAsia="Calibri" w:cs="Times New Roman"/>
          <w:sz w:val="28"/>
          <w:szCs w:val="28"/>
        </w:rPr>
        <w:t>Phát triển hệ thống ĐHTT là phù hợp với xu thế phát triển của GDĐH khu vực và thế giới – quy mô SV</w:t>
      </w:r>
      <w:r w:rsidR="001A61AB" w:rsidRPr="00F421DC">
        <w:rPr>
          <w:rFonts w:eastAsia="Calibri" w:cs="Times New Roman"/>
          <w:sz w:val="28"/>
          <w:szCs w:val="28"/>
        </w:rPr>
        <w:t xml:space="preserve"> của hệ thống ĐHTT</w:t>
      </w:r>
      <w:r w:rsidRPr="00F421DC">
        <w:rPr>
          <w:rFonts w:eastAsia="Calibri" w:cs="Times New Roman"/>
          <w:sz w:val="28"/>
          <w:szCs w:val="28"/>
        </w:rPr>
        <w:t xml:space="preserve"> tăng nhanh trong những thập niên qua, đến nay chiếm khoảng 1/3 (32.9%) tổng số SV toàn cầu [</w:t>
      </w:r>
      <w:r w:rsidR="0063265F" w:rsidRPr="00F421DC">
        <w:rPr>
          <w:rFonts w:eastAsia="Calibri" w:cs="Times New Roman"/>
          <w:sz w:val="28"/>
          <w:szCs w:val="28"/>
        </w:rPr>
        <w:t>7</w:t>
      </w:r>
      <w:r w:rsidRPr="00F421DC">
        <w:rPr>
          <w:rFonts w:eastAsia="Calibri" w:cs="Times New Roman"/>
          <w:sz w:val="28"/>
          <w:szCs w:val="28"/>
        </w:rPr>
        <w:t>], phù hợp với thực tiễn phát triển kinh tế - xã hội của đất nước, đặc biệt là Đảng ta đang triển khai thực hiện Nghị quyết TW 5 khóa XII về “P</w:t>
      </w:r>
      <w:r w:rsidRPr="00F421DC">
        <w:rPr>
          <w:rFonts w:cs="Times New Roman"/>
          <w:sz w:val="28"/>
          <w:szCs w:val="28"/>
          <w:shd w:val="clear" w:color="auto" w:fill="FFFFFF"/>
        </w:rPr>
        <w:t xml:space="preserve">hát triển kinh tế tư nhân trở thành một động lực quan trọng của nền kinh tế thị trường định hướng xã hội chủ nghĩa”, </w:t>
      </w:r>
      <w:r w:rsidRPr="00F421DC">
        <w:rPr>
          <w:rFonts w:eastAsia="Calibri" w:cs="Times New Roman"/>
          <w:sz w:val="28"/>
          <w:szCs w:val="28"/>
        </w:rPr>
        <w:t>Nghị quyết TW6 khóa XII về “M</w:t>
      </w:r>
      <w:r w:rsidRPr="00F421DC">
        <w:rPr>
          <w:rFonts w:cs="Times New Roman"/>
          <w:sz w:val="28"/>
          <w:szCs w:val="28"/>
          <w:shd w:val="clear" w:color="auto" w:fill="FFFFFF"/>
        </w:rPr>
        <w:t>ột số vấn đề về tiếp tục đổi mới, sắp xếp tổ chức bộ máy của hệ thống chính trị tinh gọn, hoạt động hiệu lực, hiệu quả”, vv..</w:t>
      </w:r>
      <w:r w:rsidRPr="00F421DC">
        <w:rPr>
          <w:rFonts w:eastAsia="Calibri" w:cs="Times New Roman"/>
          <w:sz w:val="28"/>
          <w:szCs w:val="28"/>
        </w:rPr>
        <w:t>. Mặt khác, hệ</w:t>
      </w:r>
      <w:r w:rsidR="001A61AB" w:rsidRPr="00F421DC">
        <w:rPr>
          <w:rFonts w:eastAsia="Calibri" w:cs="Times New Roman"/>
          <w:sz w:val="28"/>
          <w:szCs w:val="28"/>
        </w:rPr>
        <w:t xml:space="preserve"> thố</w:t>
      </w:r>
      <w:r w:rsidRPr="00F421DC">
        <w:rPr>
          <w:rFonts w:eastAsia="Calibri" w:cs="Times New Roman"/>
          <w:sz w:val="28"/>
          <w:szCs w:val="28"/>
        </w:rPr>
        <w:t xml:space="preserve">ng ĐHTT Việt </w:t>
      </w:r>
      <w:r w:rsidR="001A61AB" w:rsidRPr="00F421DC">
        <w:rPr>
          <w:rFonts w:eastAsia="Calibri" w:cs="Times New Roman"/>
          <w:sz w:val="28"/>
          <w:szCs w:val="28"/>
        </w:rPr>
        <w:t>N</w:t>
      </w:r>
      <w:r w:rsidRPr="00F421DC">
        <w:rPr>
          <w:rFonts w:eastAsia="Calibri" w:cs="Times New Roman"/>
          <w:sz w:val="28"/>
          <w:szCs w:val="28"/>
        </w:rPr>
        <w:t xml:space="preserve">am có tiềm năng để phát triển vì trong số 60 trường ĐHTT Việt Nam, một số trường đã tạo dựng được </w:t>
      </w:r>
      <w:r w:rsidR="001A61AB" w:rsidRPr="00F421DC">
        <w:rPr>
          <w:rFonts w:eastAsia="Calibri" w:cs="Times New Roman"/>
          <w:sz w:val="28"/>
          <w:szCs w:val="28"/>
        </w:rPr>
        <w:t>nền tảng phát triển vững chắc</w:t>
      </w:r>
      <w:r w:rsidRPr="00F421DC">
        <w:rPr>
          <w:rFonts w:eastAsia="Calibri" w:cs="Times New Roman"/>
          <w:sz w:val="28"/>
          <w:szCs w:val="28"/>
        </w:rPr>
        <w:t xml:space="preserve">, nhiều trường ĐHTT đã được các tập đoàn kinh tế và giáo dục có tiềm lực tài chính lớn đầu tư. </w:t>
      </w:r>
    </w:p>
    <w:p w:rsidR="008F72A7" w:rsidRPr="00F421DC" w:rsidRDefault="008F72A7" w:rsidP="00F421DC">
      <w:pPr>
        <w:spacing w:after="120" w:line="240" w:lineRule="auto"/>
        <w:ind w:firstLine="720"/>
        <w:contextualSpacing/>
        <w:jc w:val="both"/>
        <w:rPr>
          <w:rFonts w:eastAsia="Calibri" w:cs="Times New Roman"/>
          <w:sz w:val="28"/>
          <w:szCs w:val="28"/>
        </w:rPr>
      </w:pPr>
      <w:r w:rsidRPr="00F421DC">
        <w:rPr>
          <w:rFonts w:eastAsia="Calibri" w:cs="Times New Roman"/>
          <w:sz w:val="28"/>
          <w:szCs w:val="28"/>
        </w:rPr>
        <w:lastRenderedPageBreak/>
        <w:t>Nghị quyết 29-NQ/TW ngày 04/11/2013 xác định mục tiêu phát triển nền GD là</w:t>
      </w:r>
      <w:r w:rsidRPr="00F421DC">
        <w:rPr>
          <w:rFonts w:eastAsia="Times New Roman" w:cs="Times New Roman"/>
          <w:sz w:val="28"/>
          <w:szCs w:val="28"/>
        </w:rPr>
        <w:t xml:space="preserve"> đến năm 2030 đạt trình độ tiên tiến trong khu vực, phát triển GDĐH trong đó có </w:t>
      </w:r>
      <w:r w:rsidR="00422F8C" w:rsidRPr="00F421DC">
        <w:rPr>
          <w:rFonts w:eastAsia="Times New Roman" w:cs="Times New Roman"/>
          <w:sz w:val="28"/>
          <w:szCs w:val="28"/>
        </w:rPr>
        <w:t xml:space="preserve">hệ thống ĐHTT </w:t>
      </w:r>
      <w:r w:rsidRPr="00F421DC">
        <w:rPr>
          <w:rFonts w:eastAsia="Times New Roman" w:cs="Times New Roman"/>
          <w:sz w:val="28"/>
          <w:szCs w:val="28"/>
        </w:rPr>
        <w:t>là</w:t>
      </w:r>
      <w:r w:rsidR="00C34CC5" w:rsidRPr="00F421DC">
        <w:rPr>
          <w:rFonts w:eastAsia="Times New Roman" w:cs="Times New Roman"/>
          <w:sz w:val="28"/>
          <w:szCs w:val="28"/>
        </w:rPr>
        <w:t xml:space="preserve"> có</w:t>
      </w:r>
      <w:r w:rsidRPr="00F421DC">
        <w:rPr>
          <w:rFonts w:eastAsia="Times New Roman" w:cs="Times New Roman"/>
          <w:sz w:val="28"/>
          <w:szCs w:val="28"/>
        </w:rPr>
        <w:t xml:space="preserve"> một số trường và ngành đào tạo của trường ĐH ngang tầm khu vực và quốc tế.</w:t>
      </w:r>
    </w:p>
    <w:p w:rsidR="00DE0715" w:rsidRPr="00F421DC" w:rsidRDefault="00D65A5F" w:rsidP="00F421DC">
      <w:pPr>
        <w:spacing w:after="120" w:line="240" w:lineRule="auto"/>
        <w:ind w:firstLine="720"/>
        <w:contextualSpacing/>
        <w:jc w:val="both"/>
        <w:rPr>
          <w:rFonts w:eastAsia="Times New Roman" w:cs="Times New Roman"/>
          <w:b/>
          <w:sz w:val="28"/>
          <w:szCs w:val="28"/>
        </w:rPr>
      </w:pPr>
      <w:r w:rsidRPr="00F421DC">
        <w:rPr>
          <w:rFonts w:eastAsia="Calibri" w:cs="Times New Roman"/>
          <w:sz w:val="28"/>
          <w:szCs w:val="28"/>
        </w:rPr>
        <w:t>Đ</w:t>
      </w:r>
      <w:r w:rsidR="00DE0715" w:rsidRPr="00F421DC">
        <w:rPr>
          <w:rFonts w:eastAsia="Calibri" w:cs="Times New Roman"/>
          <w:sz w:val="28"/>
          <w:szCs w:val="28"/>
        </w:rPr>
        <w:t>ể phát triển hệ thống ĐHTT Việ</w:t>
      </w:r>
      <w:r w:rsidRPr="00F421DC">
        <w:rPr>
          <w:rFonts w:eastAsia="Calibri" w:cs="Times New Roman"/>
          <w:sz w:val="28"/>
          <w:szCs w:val="28"/>
        </w:rPr>
        <w:t xml:space="preserve">t Nam nhằm góp phần thực hiện thắng lợi các mục tiêu của Nghị quyết 29-NQ/TW </w:t>
      </w:r>
      <w:r w:rsidR="00DE0715" w:rsidRPr="00F421DC">
        <w:rPr>
          <w:rFonts w:eastAsia="Calibri" w:cs="Times New Roman"/>
          <w:sz w:val="28"/>
          <w:szCs w:val="28"/>
        </w:rPr>
        <w:t>cần tr</w:t>
      </w:r>
      <w:r w:rsidR="008F72A7" w:rsidRPr="00F421DC">
        <w:rPr>
          <w:rFonts w:eastAsia="Calibri" w:cs="Times New Roman"/>
          <w:sz w:val="28"/>
          <w:szCs w:val="28"/>
        </w:rPr>
        <w:t>iển</w:t>
      </w:r>
      <w:r w:rsidR="00DE0715" w:rsidRPr="00F421DC">
        <w:rPr>
          <w:rFonts w:eastAsia="Calibri" w:cs="Times New Roman"/>
          <w:sz w:val="28"/>
          <w:szCs w:val="28"/>
        </w:rPr>
        <w:t xml:space="preserve"> khai đồng bộ</w:t>
      </w:r>
      <w:r w:rsidRPr="00F421DC">
        <w:rPr>
          <w:rFonts w:eastAsia="Calibri" w:cs="Times New Roman"/>
          <w:sz w:val="28"/>
          <w:szCs w:val="28"/>
        </w:rPr>
        <w:t xml:space="preserve"> </w:t>
      </w:r>
      <w:r w:rsidR="004745CC">
        <w:rPr>
          <w:rFonts w:eastAsia="Calibri" w:cs="Times New Roman"/>
          <w:sz w:val="28"/>
          <w:szCs w:val="28"/>
        </w:rPr>
        <w:t>nhiều</w:t>
      </w:r>
      <w:r w:rsidR="00FB6523" w:rsidRPr="00F421DC">
        <w:rPr>
          <w:rFonts w:eastAsia="Calibri" w:cs="Times New Roman"/>
          <w:sz w:val="28"/>
          <w:szCs w:val="28"/>
        </w:rPr>
        <w:t xml:space="preserve"> </w:t>
      </w:r>
      <w:r w:rsidR="00DE0715" w:rsidRPr="00F421DC">
        <w:rPr>
          <w:rFonts w:eastAsia="Calibri" w:cs="Times New Roman"/>
          <w:sz w:val="28"/>
          <w:szCs w:val="28"/>
        </w:rPr>
        <w:t>giả</w:t>
      </w:r>
      <w:r w:rsidRPr="00F421DC">
        <w:rPr>
          <w:rFonts w:eastAsia="Calibri" w:cs="Times New Roman"/>
          <w:sz w:val="28"/>
          <w:szCs w:val="28"/>
        </w:rPr>
        <w:t xml:space="preserve">i pháp </w:t>
      </w:r>
      <w:r w:rsidR="004745CC">
        <w:rPr>
          <w:rFonts w:eastAsia="Calibri" w:cs="Times New Roman"/>
          <w:sz w:val="28"/>
          <w:szCs w:val="28"/>
        </w:rPr>
        <w:t xml:space="preserve">khác nhau trong đó </w:t>
      </w:r>
      <w:r w:rsidR="00714BBD" w:rsidRPr="00F421DC">
        <w:rPr>
          <w:rFonts w:eastAsia="Calibri" w:cs="Times New Roman"/>
          <w:sz w:val="28"/>
          <w:szCs w:val="28"/>
        </w:rPr>
        <w:t xml:space="preserve">có </w:t>
      </w:r>
      <w:r w:rsidR="004745CC">
        <w:rPr>
          <w:rFonts w:eastAsia="Calibri" w:cs="Times New Roman"/>
          <w:sz w:val="28"/>
          <w:szCs w:val="28"/>
        </w:rPr>
        <w:t xml:space="preserve">05 giải pháp có </w:t>
      </w:r>
      <w:r w:rsidR="00714BBD" w:rsidRPr="00F421DC">
        <w:rPr>
          <w:rFonts w:eastAsia="Calibri" w:cs="Times New Roman"/>
          <w:sz w:val="28"/>
          <w:szCs w:val="28"/>
        </w:rPr>
        <w:t xml:space="preserve">tính định hướng </w:t>
      </w:r>
      <w:r w:rsidR="00FB6523" w:rsidRPr="00F421DC">
        <w:rPr>
          <w:rFonts w:eastAsia="Calibri" w:cs="Times New Roman"/>
          <w:sz w:val="28"/>
          <w:szCs w:val="28"/>
        </w:rPr>
        <w:t>dưới đây.</w:t>
      </w:r>
    </w:p>
    <w:p w:rsidR="00160C42" w:rsidRPr="00F421DC" w:rsidRDefault="00FB6523" w:rsidP="00F421DC">
      <w:pPr>
        <w:spacing w:after="120" w:line="240" w:lineRule="auto"/>
        <w:ind w:firstLine="709"/>
        <w:jc w:val="both"/>
        <w:rPr>
          <w:rFonts w:cs="Times New Roman"/>
          <w:i/>
          <w:sz w:val="28"/>
          <w:szCs w:val="28"/>
        </w:rPr>
      </w:pPr>
      <w:r w:rsidRPr="00F421DC">
        <w:rPr>
          <w:rFonts w:cs="Times New Roman"/>
          <w:i/>
          <w:sz w:val="28"/>
          <w:szCs w:val="28"/>
        </w:rPr>
        <w:t>2.3.1. H</w:t>
      </w:r>
      <w:r w:rsidR="00C34CC5" w:rsidRPr="00F421DC">
        <w:rPr>
          <w:rFonts w:cs="Times New Roman"/>
          <w:i/>
          <w:sz w:val="28"/>
          <w:szCs w:val="28"/>
        </w:rPr>
        <w:t xml:space="preserve">ệ thống hóa </w:t>
      </w:r>
      <w:r w:rsidR="00160C42" w:rsidRPr="00F421DC">
        <w:rPr>
          <w:rFonts w:cs="Times New Roman"/>
          <w:i/>
          <w:sz w:val="28"/>
          <w:szCs w:val="28"/>
        </w:rPr>
        <w:t xml:space="preserve">các </w:t>
      </w:r>
      <w:r w:rsidR="00312742" w:rsidRPr="00F421DC">
        <w:rPr>
          <w:rFonts w:cs="Times New Roman"/>
          <w:i/>
          <w:sz w:val="28"/>
          <w:szCs w:val="28"/>
        </w:rPr>
        <w:t xml:space="preserve">chủ trương, </w:t>
      </w:r>
      <w:r w:rsidR="00C34CC5" w:rsidRPr="00F421DC">
        <w:rPr>
          <w:rFonts w:cs="Times New Roman"/>
          <w:i/>
          <w:sz w:val="28"/>
          <w:szCs w:val="28"/>
        </w:rPr>
        <w:t xml:space="preserve">cơ chế, </w:t>
      </w:r>
      <w:r w:rsidR="00312742" w:rsidRPr="00F421DC">
        <w:rPr>
          <w:rFonts w:cs="Times New Roman"/>
          <w:i/>
          <w:sz w:val="28"/>
          <w:szCs w:val="28"/>
        </w:rPr>
        <w:t xml:space="preserve">chính sách </w:t>
      </w:r>
      <w:r w:rsidR="00160C42" w:rsidRPr="00F421DC">
        <w:rPr>
          <w:rFonts w:cs="Times New Roman"/>
          <w:i/>
          <w:sz w:val="28"/>
          <w:szCs w:val="28"/>
        </w:rPr>
        <w:t xml:space="preserve">về phát triển </w:t>
      </w:r>
      <w:r w:rsidR="00422F8C" w:rsidRPr="00F421DC">
        <w:rPr>
          <w:rFonts w:cs="Times New Roman"/>
          <w:i/>
          <w:sz w:val="28"/>
          <w:szCs w:val="28"/>
        </w:rPr>
        <w:t>hệ thố</w:t>
      </w:r>
      <w:r w:rsidRPr="00F421DC">
        <w:rPr>
          <w:rFonts w:cs="Times New Roman"/>
          <w:i/>
          <w:sz w:val="28"/>
          <w:szCs w:val="28"/>
        </w:rPr>
        <w:t>ng đại học tư thục</w:t>
      </w:r>
      <w:r w:rsidR="00B7453B" w:rsidRPr="00F421DC">
        <w:rPr>
          <w:rFonts w:cs="Times New Roman"/>
          <w:i/>
          <w:sz w:val="28"/>
          <w:szCs w:val="28"/>
        </w:rPr>
        <w:t xml:space="preserve"> Việt Nam</w:t>
      </w:r>
      <w:r w:rsidR="00160C42" w:rsidRPr="00F421DC">
        <w:rPr>
          <w:rFonts w:cs="Times New Roman"/>
          <w:i/>
          <w:sz w:val="28"/>
          <w:szCs w:val="28"/>
        </w:rPr>
        <w:t xml:space="preserve"> </w:t>
      </w:r>
    </w:p>
    <w:p w:rsidR="00D272FD" w:rsidRPr="00F421DC" w:rsidRDefault="00F66CAE" w:rsidP="00F421DC">
      <w:pPr>
        <w:spacing w:after="120" w:line="240" w:lineRule="auto"/>
        <w:ind w:firstLine="709"/>
        <w:jc w:val="both"/>
        <w:rPr>
          <w:rFonts w:cs="Times New Roman"/>
          <w:sz w:val="28"/>
          <w:szCs w:val="28"/>
        </w:rPr>
      </w:pPr>
      <w:r>
        <w:rPr>
          <w:rFonts w:cs="Times New Roman"/>
          <w:sz w:val="28"/>
          <w:szCs w:val="28"/>
        </w:rPr>
        <w:t>Chủ trương, cơ chế hay chính sách</w:t>
      </w:r>
      <w:r w:rsidR="00F64BB0" w:rsidRPr="00F421DC">
        <w:rPr>
          <w:rFonts w:cs="Times New Roman"/>
          <w:sz w:val="28"/>
          <w:szCs w:val="28"/>
        </w:rPr>
        <w:t xml:space="preserve"> </w:t>
      </w:r>
      <w:r w:rsidR="008E31E8" w:rsidRPr="00F421DC">
        <w:rPr>
          <w:rFonts w:cs="Times New Roman"/>
          <w:sz w:val="28"/>
          <w:szCs w:val="28"/>
        </w:rPr>
        <w:t>phát triể</w:t>
      </w:r>
      <w:r w:rsidR="00422F8C" w:rsidRPr="00F421DC">
        <w:rPr>
          <w:rFonts w:cs="Times New Roman"/>
          <w:sz w:val="28"/>
          <w:szCs w:val="28"/>
        </w:rPr>
        <w:t xml:space="preserve">n hệ thống </w:t>
      </w:r>
      <w:r w:rsidR="008E31E8" w:rsidRPr="00F421DC">
        <w:rPr>
          <w:rFonts w:cs="Times New Roman"/>
          <w:sz w:val="28"/>
          <w:szCs w:val="28"/>
        </w:rPr>
        <w:t>ĐHTT</w:t>
      </w:r>
      <w:r w:rsidR="00F64BB0" w:rsidRPr="00F421DC">
        <w:rPr>
          <w:rFonts w:cs="Times New Roman"/>
          <w:sz w:val="28"/>
          <w:szCs w:val="28"/>
        </w:rPr>
        <w:t xml:space="preserve"> đã đượ</w:t>
      </w:r>
      <w:r w:rsidR="00C34CC5" w:rsidRPr="00F421DC">
        <w:rPr>
          <w:rFonts w:cs="Times New Roman"/>
          <w:sz w:val="28"/>
          <w:szCs w:val="28"/>
        </w:rPr>
        <w:t>c đề cập</w:t>
      </w:r>
      <w:r w:rsidR="00F64BB0" w:rsidRPr="00F421DC">
        <w:rPr>
          <w:rFonts w:cs="Times New Roman"/>
          <w:sz w:val="28"/>
          <w:szCs w:val="28"/>
        </w:rPr>
        <w:t xml:space="preserve"> </w:t>
      </w:r>
      <w:r w:rsidR="00DA32F7" w:rsidRPr="00F421DC">
        <w:rPr>
          <w:rFonts w:cs="Times New Roman"/>
          <w:sz w:val="28"/>
          <w:szCs w:val="28"/>
        </w:rPr>
        <w:t xml:space="preserve">trong </w:t>
      </w:r>
      <w:r w:rsidR="00001DAE" w:rsidRPr="00F421DC">
        <w:rPr>
          <w:rFonts w:cs="Times New Roman"/>
          <w:sz w:val="28"/>
          <w:szCs w:val="28"/>
        </w:rPr>
        <w:t xml:space="preserve">các </w:t>
      </w:r>
      <w:r w:rsidR="00DA32F7" w:rsidRPr="00F421DC">
        <w:rPr>
          <w:rFonts w:cs="Times New Roman"/>
          <w:sz w:val="28"/>
          <w:szCs w:val="28"/>
        </w:rPr>
        <w:t>văn kiện đại hội Đảng</w:t>
      </w:r>
      <w:r w:rsidR="00001DAE" w:rsidRPr="00F421DC">
        <w:rPr>
          <w:rFonts w:cs="Times New Roman"/>
          <w:sz w:val="28"/>
          <w:szCs w:val="28"/>
        </w:rPr>
        <w:t xml:space="preserve"> cũng như</w:t>
      </w:r>
      <w:r w:rsidR="00DA32F7" w:rsidRPr="00F421DC">
        <w:rPr>
          <w:rFonts w:cs="Times New Roman"/>
          <w:sz w:val="28"/>
          <w:szCs w:val="28"/>
        </w:rPr>
        <w:t xml:space="preserve"> </w:t>
      </w:r>
      <w:r w:rsidR="00F64BB0" w:rsidRPr="00F421DC">
        <w:rPr>
          <w:rFonts w:cs="Times New Roman"/>
          <w:sz w:val="28"/>
          <w:szCs w:val="28"/>
        </w:rPr>
        <w:t xml:space="preserve">trong </w:t>
      </w:r>
      <w:r w:rsidR="008E31E8" w:rsidRPr="00F421DC">
        <w:rPr>
          <w:rFonts w:cs="Times New Roman"/>
          <w:sz w:val="28"/>
          <w:szCs w:val="28"/>
        </w:rPr>
        <w:t xml:space="preserve">nhiều nghị quyết </w:t>
      </w:r>
      <w:r w:rsidR="00F64BB0" w:rsidRPr="00F421DC">
        <w:rPr>
          <w:rFonts w:cs="Times New Roman"/>
          <w:sz w:val="28"/>
          <w:szCs w:val="28"/>
        </w:rPr>
        <w:t xml:space="preserve">chuyên đề về phát triển GD&amp;ĐT của Đảng kể từ </w:t>
      </w:r>
      <w:r w:rsidR="008E31E8" w:rsidRPr="00F421DC">
        <w:rPr>
          <w:rFonts w:cs="Times New Roman"/>
          <w:sz w:val="28"/>
          <w:szCs w:val="28"/>
        </w:rPr>
        <w:t xml:space="preserve">Nghị quyết TW 4 (khóa VII) năm </w:t>
      </w:r>
      <w:r w:rsidR="00F64BB0" w:rsidRPr="00F421DC">
        <w:rPr>
          <w:rFonts w:cs="Times New Roman"/>
          <w:sz w:val="28"/>
          <w:szCs w:val="28"/>
        </w:rPr>
        <w:t>1993 cho đến Nghị quyết TW 8 (khóa XI) năm 2013.</w:t>
      </w:r>
      <w:r w:rsidR="00F42585" w:rsidRPr="00F421DC">
        <w:rPr>
          <w:rFonts w:cs="Times New Roman"/>
          <w:sz w:val="28"/>
          <w:szCs w:val="28"/>
        </w:rPr>
        <w:t xml:space="preserve"> Luật GDĐH năm 2012, sửa đổi bổ sung năm 2018 nhấn mạnh việc ưu tiên phát triển hệ thống ĐHTT. Chính phủ cũng đã ban hành nhiều nghị định, chỉ thị, vv… trong đó đề ra nhiều cơ chế, chính sách hỗ trợ để phát triển ĐHTT trong đó có Nghị định số 59/2014/NĐ-CP ngày 16/6/2014.</w:t>
      </w:r>
    </w:p>
    <w:p w:rsidR="00160C42" w:rsidRPr="00F421DC" w:rsidRDefault="0050434D" w:rsidP="00F421DC">
      <w:pPr>
        <w:spacing w:after="120" w:line="240" w:lineRule="auto"/>
        <w:ind w:firstLine="709"/>
        <w:jc w:val="both"/>
        <w:rPr>
          <w:rFonts w:cs="Times New Roman"/>
          <w:sz w:val="28"/>
          <w:szCs w:val="28"/>
        </w:rPr>
      </w:pPr>
      <w:r w:rsidRPr="00F421DC">
        <w:rPr>
          <w:rFonts w:cs="Times New Roman"/>
          <w:sz w:val="28"/>
          <w:szCs w:val="28"/>
        </w:rPr>
        <w:t>Việc rà soát, đánh giá lạ</w:t>
      </w:r>
      <w:r w:rsidR="00817D19" w:rsidRPr="00F421DC">
        <w:rPr>
          <w:rFonts w:cs="Times New Roman"/>
          <w:sz w:val="28"/>
          <w:szCs w:val="28"/>
        </w:rPr>
        <w:t>i và</w:t>
      </w:r>
      <w:r w:rsidRPr="00F421DC">
        <w:rPr>
          <w:rFonts w:cs="Times New Roman"/>
          <w:sz w:val="28"/>
          <w:szCs w:val="28"/>
        </w:rPr>
        <w:t xml:space="preserve"> hệ thống hóa các chủ trương, cơ chế, chính sách về phát triển hệ thống ĐHTT Việt Nam trong một văn bản duy nhất là yêu cầu cấp thiết để tạo sự tập trung và thuận lợi cho các cơ quan quản lý nhà nước về GDĐH, các trường ĐHTT và các bên liên quan trong việc triển khai thực hiện.</w:t>
      </w:r>
      <w:r w:rsidR="0051074E" w:rsidRPr="00F421DC">
        <w:rPr>
          <w:rFonts w:cs="Times New Roman"/>
          <w:sz w:val="28"/>
          <w:szCs w:val="28"/>
        </w:rPr>
        <w:t xml:space="preserve"> Mặt khác, để khắc phục tình trạng chậm triển khai các chủ trương, cơ chế, chính sách về phá</w:t>
      </w:r>
      <w:r w:rsidR="00817D19" w:rsidRPr="00F421DC">
        <w:rPr>
          <w:rFonts w:cs="Times New Roman"/>
          <w:sz w:val="28"/>
          <w:szCs w:val="28"/>
        </w:rPr>
        <w:t>t</w:t>
      </w:r>
      <w:r w:rsidR="0051074E" w:rsidRPr="00F421DC">
        <w:rPr>
          <w:rFonts w:cs="Times New Roman"/>
          <w:sz w:val="28"/>
          <w:szCs w:val="28"/>
        </w:rPr>
        <w:t xml:space="preserve"> triển hệ</w:t>
      </w:r>
      <w:r w:rsidR="00817D19" w:rsidRPr="00F421DC">
        <w:rPr>
          <w:rFonts w:cs="Times New Roman"/>
          <w:sz w:val="28"/>
          <w:szCs w:val="28"/>
        </w:rPr>
        <w:t xml:space="preserve"> thố</w:t>
      </w:r>
      <w:r w:rsidR="0051074E" w:rsidRPr="00F421DC">
        <w:rPr>
          <w:rFonts w:cs="Times New Roman"/>
          <w:sz w:val="28"/>
          <w:szCs w:val="28"/>
        </w:rPr>
        <w:t xml:space="preserve">ng ĐHTT như trong </w:t>
      </w:r>
      <w:r w:rsidR="00817D19" w:rsidRPr="00F421DC">
        <w:rPr>
          <w:rFonts w:cs="Times New Roman"/>
          <w:sz w:val="28"/>
          <w:szCs w:val="28"/>
        </w:rPr>
        <w:t>những năm</w:t>
      </w:r>
      <w:r w:rsidR="0051074E" w:rsidRPr="00F421DC">
        <w:rPr>
          <w:rFonts w:cs="Times New Roman"/>
          <w:sz w:val="28"/>
          <w:szCs w:val="28"/>
        </w:rPr>
        <w:t xml:space="preserve"> qua, cần phát huy </w:t>
      </w:r>
      <w:r w:rsidR="00817D19" w:rsidRPr="00F421DC">
        <w:rPr>
          <w:rFonts w:cs="Times New Roman"/>
          <w:sz w:val="28"/>
          <w:szCs w:val="28"/>
        </w:rPr>
        <w:t xml:space="preserve">hơn nữa </w:t>
      </w:r>
      <w:r w:rsidR="0051074E" w:rsidRPr="00F421DC">
        <w:rPr>
          <w:rFonts w:cs="Times New Roman"/>
          <w:sz w:val="28"/>
          <w:szCs w:val="28"/>
        </w:rPr>
        <w:t>vai trò tham mưu</w:t>
      </w:r>
      <w:r w:rsidR="005D7370" w:rsidRPr="00F421DC">
        <w:rPr>
          <w:rFonts w:cs="Times New Roman"/>
          <w:sz w:val="28"/>
          <w:szCs w:val="28"/>
        </w:rPr>
        <w:t xml:space="preserve"> và </w:t>
      </w:r>
      <w:r w:rsidR="0051074E" w:rsidRPr="00F421DC">
        <w:rPr>
          <w:rFonts w:cs="Times New Roman"/>
          <w:sz w:val="28"/>
          <w:szCs w:val="28"/>
        </w:rPr>
        <w:t xml:space="preserve">tính năng động của </w:t>
      </w:r>
      <w:r w:rsidR="00542DCA" w:rsidRPr="00F421DC">
        <w:rPr>
          <w:rFonts w:cs="Times New Roman"/>
          <w:sz w:val="28"/>
          <w:szCs w:val="28"/>
        </w:rPr>
        <w:t>Hiệp hội các trường ĐH, CĐ Việt Nam</w:t>
      </w:r>
      <w:r w:rsidR="0051074E" w:rsidRPr="00F421DC">
        <w:rPr>
          <w:rFonts w:cs="Times New Roman"/>
          <w:sz w:val="28"/>
          <w:szCs w:val="28"/>
        </w:rPr>
        <w:t>.</w:t>
      </w:r>
    </w:p>
    <w:p w:rsidR="002B2871" w:rsidRPr="00F421DC" w:rsidRDefault="00FB6523" w:rsidP="00F421DC">
      <w:pPr>
        <w:spacing w:after="120" w:line="240" w:lineRule="auto"/>
        <w:ind w:firstLine="709"/>
        <w:jc w:val="both"/>
        <w:rPr>
          <w:rFonts w:cs="Times New Roman"/>
          <w:i/>
          <w:sz w:val="28"/>
          <w:szCs w:val="28"/>
        </w:rPr>
      </w:pPr>
      <w:r w:rsidRPr="00F421DC">
        <w:rPr>
          <w:rFonts w:cs="Times New Roman"/>
          <w:i/>
          <w:sz w:val="28"/>
          <w:szCs w:val="28"/>
        </w:rPr>
        <w:t>2.3.2. M</w:t>
      </w:r>
      <w:r w:rsidR="003B1137" w:rsidRPr="00F421DC">
        <w:rPr>
          <w:rFonts w:cs="Times New Roman"/>
          <w:i/>
          <w:sz w:val="28"/>
          <w:szCs w:val="28"/>
        </w:rPr>
        <w:t>ở rộng q</w:t>
      </w:r>
      <w:r w:rsidR="002B2871" w:rsidRPr="00F421DC">
        <w:rPr>
          <w:rFonts w:cs="Times New Roman"/>
          <w:i/>
          <w:sz w:val="28"/>
          <w:szCs w:val="28"/>
        </w:rPr>
        <w:t>uy mô</w:t>
      </w:r>
      <w:r w:rsidR="003B1137" w:rsidRPr="00F421DC">
        <w:rPr>
          <w:rFonts w:cs="Times New Roman"/>
          <w:i/>
          <w:sz w:val="28"/>
          <w:szCs w:val="28"/>
        </w:rPr>
        <w:t xml:space="preserve"> của hệ thố</w:t>
      </w:r>
      <w:r w:rsidR="00B7453B" w:rsidRPr="00F421DC">
        <w:rPr>
          <w:rFonts w:cs="Times New Roman"/>
          <w:i/>
          <w:sz w:val="28"/>
          <w:szCs w:val="28"/>
        </w:rPr>
        <w:t xml:space="preserve">ng </w:t>
      </w:r>
      <w:r w:rsidRPr="00F421DC">
        <w:rPr>
          <w:rFonts w:cs="Times New Roman"/>
          <w:i/>
          <w:sz w:val="28"/>
          <w:szCs w:val="28"/>
        </w:rPr>
        <w:t>đại học tư thục</w:t>
      </w:r>
      <w:r w:rsidR="00B7453B" w:rsidRPr="00F421DC">
        <w:rPr>
          <w:rFonts w:cs="Times New Roman"/>
          <w:i/>
          <w:sz w:val="28"/>
          <w:szCs w:val="28"/>
        </w:rPr>
        <w:t xml:space="preserve"> Việt Nam</w:t>
      </w:r>
    </w:p>
    <w:p w:rsidR="00F81473" w:rsidRPr="00F421DC" w:rsidRDefault="003B1137" w:rsidP="00F421DC">
      <w:pPr>
        <w:spacing w:after="120" w:line="240" w:lineRule="auto"/>
        <w:ind w:firstLine="720"/>
        <w:contextualSpacing/>
        <w:jc w:val="both"/>
        <w:rPr>
          <w:rFonts w:eastAsia="Calibri" w:cs="Times New Roman"/>
          <w:sz w:val="28"/>
          <w:szCs w:val="28"/>
        </w:rPr>
      </w:pPr>
      <w:r w:rsidRPr="00F421DC">
        <w:rPr>
          <w:rFonts w:eastAsia="Calibri" w:cs="Times New Roman"/>
          <w:sz w:val="28"/>
          <w:szCs w:val="28"/>
        </w:rPr>
        <w:t>T</w:t>
      </w:r>
      <w:r w:rsidR="00F81473" w:rsidRPr="00F421DC">
        <w:rPr>
          <w:rFonts w:eastAsia="Calibri" w:cs="Times New Roman"/>
          <w:sz w:val="28"/>
          <w:szCs w:val="28"/>
        </w:rPr>
        <w:t xml:space="preserve">ăng quy mô </w:t>
      </w:r>
      <w:r w:rsidR="00DE0715" w:rsidRPr="00F421DC">
        <w:rPr>
          <w:rFonts w:eastAsia="Calibri" w:cs="Times New Roman"/>
          <w:sz w:val="28"/>
          <w:szCs w:val="28"/>
        </w:rPr>
        <w:t xml:space="preserve">đào tạo </w:t>
      </w:r>
      <w:r w:rsidR="00F81473" w:rsidRPr="00F421DC">
        <w:rPr>
          <w:rFonts w:eastAsia="Calibri" w:cs="Times New Roman"/>
          <w:sz w:val="28"/>
          <w:szCs w:val="28"/>
        </w:rPr>
        <w:t xml:space="preserve">của hệ thống ĐHTT Việt Nam </w:t>
      </w:r>
      <w:r w:rsidR="00DE0715" w:rsidRPr="00F421DC">
        <w:rPr>
          <w:rFonts w:eastAsia="Calibri" w:cs="Times New Roman"/>
          <w:sz w:val="28"/>
          <w:szCs w:val="28"/>
        </w:rPr>
        <w:t xml:space="preserve">lên gấp 2 đến gấp 3 </w:t>
      </w:r>
      <w:r w:rsidR="00964C38" w:rsidRPr="00F421DC">
        <w:rPr>
          <w:rFonts w:eastAsia="Calibri" w:cs="Times New Roman"/>
          <w:sz w:val="28"/>
          <w:szCs w:val="28"/>
        </w:rPr>
        <w:t xml:space="preserve">lần </w:t>
      </w:r>
      <w:r w:rsidR="00DE0715" w:rsidRPr="00F421DC">
        <w:rPr>
          <w:rFonts w:eastAsia="Calibri" w:cs="Times New Roman"/>
          <w:sz w:val="28"/>
          <w:szCs w:val="28"/>
        </w:rPr>
        <w:t>so với hiện nay (</w:t>
      </w:r>
      <w:r w:rsidR="00964C38" w:rsidRPr="00F421DC">
        <w:rPr>
          <w:rFonts w:eastAsia="Calibri" w:cs="Times New Roman"/>
          <w:sz w:val="28"/>
          <w:szCs w:val="28"/>
        </w:rPr>
        <w:t>tỷ lệ SV chiếm từ 25% đến 40% trong tổng số SV bậc ĐH của toàn hệ thống</w:t>
      </w:r>
      <w:r w:rsidR="00DE0715" w:rsidRPr="00F421DC">
        <w:rPr>
          <w:rFonts w:eastAsia="Calibri" w:cs="Times New Roman"/>
          <w:sz w:val="28"/>
          <w:szCs w:val="28"/>
        </w:rPr>
        <w:t>)</w:t>
      </w:r>
      <w:r w:rsidR="00964C38" w:rsidRPr="00F421DC">
        <w:rPr>
          <w:rFonts w:eastAsia="Calibri" w:cs="Times New Roman"/>
          <w:sz w:val="28"/>
          <w:szCs w:val="28"/>
        </w:rPr>
        <w:t>.</w:t>
      </w:r>
      <w:r w:rsidR="00B7280F" w:rsidRPr="00F421DC">
        <w:rPr>
          <w:rFonts w:eastAsia="Calibri" w:cs="Times New Roman"/>
          <w:sz w:val="28"/>
          <w:szCs w:val="28"/>
        </w:rPr>
        <w:t xml:space="preserve"> Đây là tỷ lệ phù hợp với xu thế phát triển của GDĐH thế giới và khu vực, phù hợp với thực tiễn phát triển kinh tế - xã hội của đất nước.</w:t>
      </w:r>
    </w:p>
    <w:p w:rsidR="00D15711" w:rsidRPr="00F421DC" w:rsidRDefault="00F81473" w:rsidP="00F421DC">
      <w:pPr>
        <w:spacing w:after="120" w:line="240" w:lineRule="auto"/>
        <w:ind w:firstLine="720"/>
        <w:contextualSpacing/>
        <w:jc w:val="both"/>
        <w:rPr>
          <w:rFonts w:eastAsia="Calibri" w:cs="Times New Roman"/>
          <w:sz w:val="28"/>
          <w:szCs w:val="28"/>
        </w:rPr>
      </w:pPr>
      <w:r w:rsidRPr="00F421DC">
        <w:rPr>
          <w:rFonts w:eastAsia="Calibri" w:cs="Times New Roman"/>
          <w:sz w:val="28"/>
          <w:szCs w:val="28"/>
        </w:rPr>
        <w:t>Để thực hiệ</w:t>
      </w:r>
      <w:r w:rsidR="00E8329D" w:rsidRPr="00F421DC">
        <w:rPr>
          <w:rFonts w:eastAsia="Calibri" w:cs="Times New Roman"/>
          <w:sz w:val="28"/>
          <w:szCs w:val="28"/>
        </w:rPr>
        <w:t xml:space="preserve">n mục </w:t>
      </w:r>
      <w:r w:rsidR="007A3721" w:rsidRPr="00F421DC">
        <w:rPr>
          <w:rFonts w:eastAsia="Calibri" w:cs="Times New Roman"/>
          <w:sz w:val="28"/>
          <w:szCs w:val="28"/>
        </w:rPr>
        <w:t xml:space="preserve">tiêu </w:t>
      </w:r>
      <w:r w:rsidR="00E8329D" w:rsidRPr="00F421DC">
        <w:rPr>
          <w:rFonts w:eastAsia="Calibri" w:cs="Times New Roman"/>
          <w:sz w:val="28"/>
          <w:szCs w:val="28"/>
        </w:rPr>
        <w:t xml:space="preserve">trên, </w:t>
      </w:r>
      <w:r w:rsidR="009D0182" w:rsidRPr="00F421DC">
        <w:rPr>
          <w:rFonts w:eastAsia="Calibri" w:cs="Times New Roman"/>
          <w:sz w:val="28"/>
          <w:szCs w:val="28"/>
        </w:rPr>
        <w:t xml:space="preserve">Chính phủ cần quy hoạch lại mạng lưới các trường ĐH Việt Nam theo hướng giảm số lượng các trường ĐH công lập, giảm quy mô đào tạo của ĐH quốc gia và ĐH vùng </w:t>
      </w:r>
      <w:r w:rsidR="00160C42" w:rsidRPr="00F421DC">
        <w:rPr>
          <w:rFonts w:eastAsia="Calibri" w:cs="Times New Roman"/>
          <w:sz w:val="28"/>
          <w:szCs w:val="28"/>
        </w:rPr>
        <w:t xml:space="preserve">(với chức năng chính là nghiên cứu) </w:t>
      </w:r>
      <w:r w:rsidR="009D0182" w:rsidRPr="00F421DC">
        <w:rPr>
          <w:rFonts w:eastAsia="Calibri" w:cs="Times New Roman"/>
          <w:sz w:val="28"/>
          <w:szCs w:val="28"/>
        </w:rPr>
        <w:t xml:space="preserve">đồng thời </w:t>
      </w:r>
      <w:r w:rsidR="00D15711" w:rsidRPr="00F421DC">
        <w:rPr>
          <w:rFonts w:eastAsia="Calibri" w:cs="Times New Roman"/>
          <w:sz w:val="28"/>
          <w:szCs w:val="28"/>
        </w:rPr>
        <w:t xml:space="preserve">sửa đổi, bổ sung các cơ chế và chính sách </w:t>
      </w:r>
      <w:r w:rsidR="00D956CE" w:rsidRPr="00F421DC">
        <w:rPr>
          <w:rFonts w:eastAsia="Calibri" w:cs="Times New Roman"/>
          <w:sz w:val="28"/>
          <w:szCs w:val="28"/>
        </w:rPr>
        <w:t>hỗ trợ</w:t>
      </w:r>
      <w:r w:rsidR="00D15711" w:rsidRPr="00F421DC">
        <w:rPr>
          <w:rFonts w:eastAsia="Calibri" w:cs="Times New Roman"/>
          <w:sz w:val="28"/>
          <w:szCs w:val="28"/>
        </w:rPr>
        <w:t xml:space="preserve"> phát triển ĐHTT </w:t>
      </w:r>
      <w:r w:rsidR="009D0182" w:rsidRPr="00F421DC">
        <w:rPr>
          <w:rFonts w:eastAsia="Calibri" w:cs="Times New Roman"/>
          <w:sz w:val="28"/>
          <w:szCs w:val="28"/>
        </w:rPr>
        <w:t xml:space="preserve">trong đó </w:t>
      </w:r>
      <w:r w:rsidR="00D15711" w:rsidRPr="00F421DC">
        <w:rPr>
          <w:rFonts w:eastAsia="Calibri" w:cs="Times New Roman"/>
          <w:sz w:val="28"/>
          <w:szCs w:val="28"/>
        </w:rPr>
        <w:t xml:space="preserve">tập trung hỗ trợ, </w:t>
      </w:r>
      <w:r w:rsidRPr="00F421DC">
        <w:rPr>
          <w:rFonts w:eastAsia="Calibri" w:cs="Times New Roman"/>
          <w:sz w:val="28"/>
          <w:szCs w:val="28"/>
        </w:rPr>
        <w:t>ưu đãi về đất đai và tài chính</w:t>
      </w:r>
      <w:r w:rsidR="00C31E43" w:rsidRPr="00F421DC">
        <w:rPr>
          <w:rFonts w:eastAsia="Calibri" w:cs="Times New Roman"/>
          <w:sz w:val="28"/>
          <w:szCs w:val="28"/>
        </w:rPr>
        <w:t>.</w:t>
      </w:r>
    </w:p>
    <w:p w:rsidR="00F81473" w:rsidRPr="00F421DC" w:rsidRDefault="009D0182" w:rsidP="00F421DC">
      <w:pPr>
        <w:spacing w:after="120" w:line="240" w:lineRule="auto"/>
        <w:ind w:firstLine="720"/>
        <w:contextualSpacing/>
        <w:jc w:val="both"/>
        <w:rPr>
          <w:rFonts w:eastAsia="Calibri" w:cs="Times New Roman"/>
          <w:sz w:val="28"/>
          <w:szCs w:val="28"/>
        </w:rPr>
      </w:pPr>
      <w:r w:rsidRPr="00F421DC">
        <w:rPr>
          <w:rFonts w:eastAsia="Calibri" w:cs="Times New Roman"/>
          <w:sz w:val="28"/>
          <w:szCs w:val="28"/>
        </w:rPr>
        <w:t xml:space="preserve">Về phía các trường ĐHTT, cần </w:t>
      </w:r>
      <w:r w:rsidR="00B809A5" w:rsidRPr="00F421DC">
        <w:rPr>
          <w:rFonts w:eastAsia="Calibri" w:cs="Times New Roman"/>
          <w:sz w:val="28"/>
          <w:szCs w:val="28"/>
        </w:rPr>
        <w:t xml:space="preserve">xác định lại sứ mạng, tầm nhìn, mục tiêu phát triển theo </w:t>
      </w:r>
      <w:r w:rsidR="008F7A84" w:rsidRPr="00F421DC">
        <w:rPr>
          <w:rFonts w:eastAsia="Calibri" w:cs="Times New Roman"/>
          <w:sz w:val="28"/>
          <w:szCs w:val="28"/>
        </w:rPr>
        <w:t>theo hướng đa ngành, đa lĩnh vự</w:t>
      </w:r>
      <w:r w:rsidR="00C31E43" w:rsidRPr="00F421DC">
        <w:rPr>
          <w:rFonts w:eastAsia="Calibri" w:cs="Times New Roman"/>
          <w:sz w:val="28"/>
          <w:szCs w:val="28"/>
        </w:rPr>
        <w:t xml:space="preserve">c và </w:t>
      </w:r>
      <w:r w:rsidR="00B809A5" w:rsidRPr="00F421DC">
        <w:rPr>
          <w:rFonts w:eastAsia="Calibri" w:cs="Times New Roman"/>
          <w:sz w:val="28"/>
          <w:szCs w:val="28"/>
        </w:rPr>
        <w:t xml:space="preserve">hội nhập quốc tế </w:t>
      </w:r>
      <w:r w:rsidR="008F7A84" w:rsidRPr="00F421DC">
        <w:rPr>
          <w:rFonts w:eastAsia="Calibri" w:cs="Times New Roman"/>
          <w:sz w:val="28"/>
          <w:szCs w:val="28"/>
        </w:rPr>
        <w:t>từ đó chuyển đổi từ trường ĐH thành ĐH</w:t>
      </w:r>
      <w:r w:rsidR="00C34CC5" w:rsidRPr="00F421DC">
        <w:rPr>
          <w:rFonts w:eastAsia="Calibri" w:cs="Times New Roman"/>
          <w:sz w:val="28"/>
          <w:szCs w:val="28"/>
        </w:rPr>
        <w:t xml:space="preserve"> theo Luật GDĐH sửa đổi, bổ sung năm 2018</w:t>
      </w:r>
      <w:r w:rsidR="008F7A84" w:rsidRPr="00F421DC">
        <w:rPr>
          <w:rFonts w:eastAsia="Calibri" w:cs="Times New Roman"/>
          <w:sz w:val="28"/>
          <w:szCs w:val="28"/>
        </w:rPr>
        <w:t>.</w:t>
      </w:r>
      <w:r w:rsidR="00B809A5" w:rsidRPr="00F421DC">
        <w:rPr>
          <w:rFonts w:eastAsia="Calibri" w:cs="Times New Roman"/>
          <w:sz w:val="28"/>
          <w:szCs w:val="28"/>
        </w:rPr>
        <w:t xml:space="preserve"> </w:t>
      </w:r>
    </w:p>
    <w:p w:rsidR="00AA3EDF" w:rsidRPr="00F421DC" w:rsidRDefault="00FB6523" w:rsidP="00F421DC">
      <w:pPr>
        <w:spacing w:after="120" w:line="240" w:lineRule="auto"/>
        <w:ind w:firstLine="709"/>
        <w:jc w:val="both"/>
        <w:rPr>
          <w:rFonts w:cs="Times New Roman"/>
          <w:i/>
          <w:sz w:val="28"/>
          <w:szCs w:val="28"/>
        </w:rPr>
      </w:pPr>
      <w:r w:rsidRPr="00F421DC">
        <w:rPr>
          <w:rFonts w:cs="Times New Roman"/>
          <w:i/>
          <w:sz w:val="28"/>
          <w:szCs w:val="28"/>
        </w:rPr>
        <w:t>2.3.3. T</w:t>
      </w:r>
      <w:r w:rsidR="00AA3EDF" w:rsidRPr="00F421DC">
        <w:rPr>
          <w:rFonts w:cs="Times New Roman"/>
          <w:i/>
          <w:sz w:val="28"/>
          <w:szCs w:val="28"/>
        </w:rPr>
        <w:t xml:space="preserve">ăng cường kiểm định </w:t>
      </w:r>
      <w:r w:rsidR="005D7370" w:rsidRPr="00F421DC">
        <w:rPr>
          <w:rFonts w:cs="Times New Roman"/>
          <w:i/>
          <w:sz w:val="28"/>
          <w:szCs w:val="28"/>
        </w:rPr>
        <w:t xml:space="preserve">trường và </w:t>
      </w:r>
      <w:r w:rsidR="00B032E1" w:rsidRPr="00F421DC">
        <w:rPr>
          <w:rFonts w:cs="Times New Roman"/>
          <w:i/>
          <w:sz w:val="28"/>
          <w:szCs w:val="28"/>
        </w:rPr>
        <w:t>chương trình đào tạo</w:t>
      </w:r>
      <w:r w:rsidRPr="00F421DC">
        <w:rPr>
          <w:rFonts w:cs="Times New Roman"/>
          <w:i/>
          <w:sz w:val="28"/>
          <w:szCs w:val="28"/>
        </w:rPr>
        <w:t xml:space="preserve"> của hệ thống đại học tư thục Việt Nam</w:t>
      </w:r>
    </w:p>
    <w:p w:rsidR="005D7370" w:rsidRPr="00F421DC" w:rsidRDefault="00A431D3" w:rsidP="00F421DC">
      <w:pPr>
        <w:spacing w:after="120" w:line="240" w:lineRule="auto"/>
        <w:ind w:firstLine="709"/>
        <w:jc w:val="both"/>
        <w:rPr>
          <w:rFonts w:cs="Times New Roman"/>
          <w:sz w:val="28"/>
          <w:szCs w:val="28"/>
        </w:rPr>
      </w:pPr>
      <w:r w:rsidRPr="00F421DC">
        <w:rPr>
          <w:rFonts w:cs="Times New Roman"/>
          <w:sz w:val="28"/>
          <w:szCs w:val="28"/>
        </w:rPr>
        <w:t>Đạt tiêu chuẩn kiểm định chất lượng cơ sở GD và chương trình đào tạo</w:t>
      </w:r>
      <w:r w:rsidR="00B032E1" w:rsidRPr="00F421DC">
        <w:rPr>
          <w:rFonts w:cs="Times New Roman"/>
          <w:sz w:val="28"/>
          <w:szCs w:val="28"/>
        </w:rPr>
        <w:t xml:space="preserve"> </w:t>
      </w:r>
      <w:r w:rsidR="00700525" w:rsidRPr="00F421DC">
        <w:rPr>
          <w:rFonts w:cs="Times New Roman"/>
          <w:sz w:val="28"/>
          <w:szCs w:val="28"/>
        </w:rPr>
        <w:t>là giải pháp then chốt nhằm nâng cao</w:t>
      </w:r>
      <w:r w:rsidRPr="00F421DC">
        <w:rPr>
          <w:rFonts w:cs="Times New Roman"/>
          <w:sz w:val="28"/>
          <w:szCs w:val="28"/>
        </w:rPr>
        <w:t xml:space="preserve"> chất lượng của các trườ</w:t>
      </w:r>
      <w:r w:rsidR="00700525" w:rsidRPr="00F421DC">
        <w:rPr>
          <w:rFonts w:cs="Times New Roman"/>
          <w:sz w:val="28"/>
          <w:szCs w:val="28"/>
        </w:rPr>
        <w:t xml:space="preserve">ng ĐHTT qua đó </w:t>
      </w:r>
      <w:r w:rsidR="002766DC" w:rsidRPr="00F421DC">
        <w:rPr>
          <w:rFonts w:cs="Times New Roman"/>
          <w:sz w:val="28"/>
          <w:szCs w:val="28"/>
        </w:rPr>
        <w:t xml:space="preserve">nâng cao vị thế của các trường ĐHTT đồng thời </w:t>
      </w:r>
      <w:r w:rsidR="00700525" w:rsidRPr="00F421DC">
        <w:rPr>
          <w:rFonts w:cs="Times New Roman"/>
          <w:sz w:val="28"/>
          <w:szCs w:val="28"/>
        </w:rPr>
        <w:t>xóa bỏ định kiến của một bộ phận phụ huynh và học sinh khi đánh giá về trường ĐHTT.</w:t>
      </w:r>
      <w:r w:rsidRPr="00F421DC">
        <w:rPr>
          <w:rFonts w:cs="Times New Roman"/>
          <w:sz w:val="28"/>
          <w:szCs w:val="28"/>
        </w:rPr>
        <w:t xml:space="preserve"> </w:t>
      </w:r>
    </w:p>
    <w:p w:rsidR="00700525" w:rsidRPr="00F421DC" w:rsidRDefault="00C354B2" w:rsidP="00F421DC">
      <w:pPr>
        <w:spacing w:after="120" w:line="240" w:lineRule="auto"/>
        <w:ind w:firstLine="709"/>
        <w:jc w:val="both"/>
        <w:rPr>
          <w:rFonts w:cs="Times New Roman"/>
          <w:sz w:val="28"/>
          <w:szCs w:val="28"/>
        </w:rPr>
      </w:pPr>
      <w:r w:rsidRPr="00F421DC">
        <w:rPr>
          <w:rFonts w:cs="Times New Roman"/>
          <w:sz w:val="28"/>
          <w:szCs w:val="28"/>
        </w:rPr>
        <w:lastRenderedPageBreak/>
        <w:t>Đ</w:t>
      </w:r>
      <w:r w:rsidR="00AB1A21" w:rsidRPr="00F421DC">
        <w:rPr>
          <w:rFonts w:cs="Times New Roman"/>
          <w:sz w:val="28"/>
          <w:szCs w:val="28"/>
        </w:rPr>
        <w:t xml:space="preserve">ối với kiểm định chương trình đào tạo, </w:t>
      </w:r>
      <w:r w:rsidR="00B032E1" w:rsidRPr="00F421DC">
        <w:rPr>
          <w:rFonts w:cs="Times New Roman"/>
          <w:sz w:val="28"/>
          <w:szCs w:val="28"/>
        </w:rPr>
        <w:t xml:space="preserve">cần </w:t>
      </w:r>
      <w:r w:rsidR="00AB1A21" w:rsidRPr="00F421DC">
        <w:rPr>
          <w:rFonts w:cs="Times New Roman"/>
          <w:sz w:val="28"/>
          <w:szCs w:val="28"/>
        </w:rPr>
        <w:t xml:space="preserve">xác định các chương trình đào tạo được kiểm định bởi các tổ chức trong nước và quốc tế. Theo đó, </w:t>
      </w:r>
      <w:r w:rsidR="00727B50" w:rsidRPr="00F421DC">
        <w:rPr>
          <w:rFonts w:cs="Times New Roman"/>
          <w:sz w:val="28"/>
          <w:szCs w:val="28"/>
        </w:rPr>
        <w:t xml:space="preserve">các chương trình đào tạo </w:t>
      </w:r>
      <w:r w:rsidR="00AB1A21" w:rsidRPr="00F421DC">
        <w:rPr>
          <w:rFonts w:cs="Times New Roman"/>
          <w:sz w:val="28"/>
          <w:szCs w:val="28"/>
        </w:rPr>
        <w:t xml:space="preserve">trọng điểm và chất lượng cao cần </w:t>
      </w:r>
      <w:r w:rsidR="00727B50" w:rsidRPr="00F421DC">
        <w:rPr>
          <w:rFonts w:cs="Times New Roman"/>
          <w:sz w:val="28"/>
          <w:szCs w:val="28"/>
        </w:rPr>
        <w:t xml:space="preserve">đạt tiêu chuẩn </w:t>
      </w:r>
      <w:r w:rsidR="00B032E1" w:rsidRPr="00F421DC">
        <w:rPr>
          <w:rFonts w:cs="Times New Roman"/>
          <w:sz w:val="28"/>
          <w:szCs w:val="28"/>
        </w:rPr>
        <w:t xml:space="preserve">kiểm định quốc tế </w:t>
      </w:r>
      <w:r w:rsidR="002766DC" w:rsidRPr="00F421DC">
        <w:rPr>
          <w:rFonts w:cs="Times New Roman"/>
          <w:sz w:val="28"/>
          <w:szCs w:val="28"/>
        </w:rPr>
        <w:t>.</w:t>
      </w:r>
      <w:r w:rsidR="00727B50" w:rsidRPr="00F421DC">
        <w:rPr>
          <w:rFonts w:cs="Times New Roman"/>
          <w:sz w:val="28"/>
          <w:szCs w:val="28"/>
        </w:rPr>
        <w:t xml:space="preserve"> </w:t>
      </w:r>
    </w:p>
    <w:p w:rsidR="00C05003" w:rsidRPr="00F421DC" w:rsidRDefault="00FB6523" w:rsidP="00F421DC">
      <w:pPr>
        <w:spacing w:after="120" w:line="240" w:lineRule="auto"/>
        <w:ind w:firstLine="709"/>
        <w:jc w:val="both"/>
        <w:rPr>
          <w:rFonts w:cs="Times New Roman"/>
          <w:i/>
          <w:sz w:val="28"/>
          <w:szCs w:val="28"/>
        </w:rPr>
      </w:pPr>
      <w:r w:rsidRPr="00F421DC">
        <w:rPr>
          <w:rFonts w:cs="Times New Roman"/>
          <w:i/>
          <w:sz w:val="28"/>
          <w:szCs w:val="28"/>
        </w:rPr>
        <w:t xml:space="preserve">2.3.4. </w:t>
      </w:r>
      <w:r w:rsidR="00C05003" w:rsidRPr="00F421DC">
        <w:rPr>
          <w:rFonts w:cs="Times New Roman"/>
          <w:i/>
          <w:sz w:val="28"/>
          <w:szCs w:val="28"/>
        </w:rPr>
        <w:t>Hiện đại hóa các trường đại học tư thục Việt Nam</w:t>
      </w:r>
    </w:p>
    <w:p w:rsidR="00EF75AC" w:rsidRPr="00F421DC" w:rsidRDefault="00EF75AC" w:rsidP="00F421DC">
      <w:pPr>
        <w:spacing w:after="120" w:line="240" w:lineRule="auto"/>
        <w:ind w:firstLine="709"/>
        <w:jc w:val="both"/>
        <w:rPr>
          <w:rFonts w:cs="Times New Roman"/>
          <w:sz w:val="28"/>
          <w:szCs w:val="28"/>
        </w:rPr>
      </w:pPr>
      <w:r w:rsidRPr="00F421DC">
        <w:rPr>
          <w:rFonts w:cs="Times New Roman"/>
          <w:sz w:val="28"/>
          <w:szCs w:val="28"/>
        </w:rPr>
        <w:t>Các trường ĐHTT có tính tự chủ cao trong đầu tư, tổ chức và hoạt động so với các trường ĐH</w:t>
      </w:r>
      <w:r w:rsidR="00F66CAE">
        <w:rPr>
          <w:rFonts w:cs="Times New Roman"/>
          <w:sz w:val="28"/>
          <w:szCs w:val="28"/>
        </w:rPr>
        <w:t xml:space="preserve"> công lập</w:t>
      </w:r>
      <w:r w:rsidRPr="00F421DC">
        <w:rPr>
          <w:rFonts w:cs="Times New Roman"/>
          <w:sz w:val="28"/>
          <w:szCs w:val="28"/>
        </w:rPr>
        <w:t>. Đây là lợi thế mà các trường ĐHTT cần phát huy để h</w:t>
      </w:r>
      <w:r w:rsidR="00C05003" w:rsidRPr="00F421DC">
        <w:rPr>
          <w:rFonts w:cs="Times New Roman"/>
          <w:sz w:val="28"/>
          <w:szCs w:val="28"/>
        </w:rPr>
        <w:t xml:space="preserve">iện đại hóa </w:t>
      </w:r>
      <w:r w:rsidR="003E557D" w:rsidRPr="00F421DC">
        <w:rPr>
          <w:rFonts w:cs="Times New Roman"/>
          <w:sz w:val="28"/>
          <w:szCs w:val="28"/>
        </w:rPr>
        <w:t xml:space="preserve">các thành tố </w:t>
      </w:r>
      <w:r w:rsidRPr="00F421DC">
        <w:rPr>
          <w:rFonts w:cs="Times New Roman"/>
          <w:sz w:val="28"/>
          <w:szCs w:val="28"/>
        </w:rPr>
        <w:t>n</w:t>
      </w:r>
      <w:r w:rsidR="003E557D" w:rsidRPr="00F421DC">
        <w:rPr>
          <w:rFonts w:cs="Times New Roman"/>
          <w:sz w:val="28"/>
          <w:szCs w:val="28"/>
        </w:rPr>
        <w:t xml:space="preserve">hư </w:t>
      </w:r>
      <w:r w:rsidR="00C05003" w:rsidRPr="00F421DC">
        <w:rPr>
          <w:rFonts w:cs="Times New Roman"/>
          <w:sz w:val="28"/>
          <w:szCs w:val="28"/>
        </w:rPr>
        <w:t xml:space="preserve">chương trình đào tạo, </w:t>
      </w:r>
      <w:r w:rsidR="003E557D" w:rsidRPr="00F421DC">
        <w:rPr>
          <w:rFonts w:cs="Times New Roman"/>
          <w:sz w:val="28"/>
          <w:szCs w:val="28"/>
        </w:rPr>
        <w:t xml:space="preserve">phương pháp đào tạo, phương pháp </w:t>
      </w:r>
      <w:r w:rsidR="00C05003" w:rsidRPr="00F421DC">
        <w:rPr>
          <w:rFonts w:cs="Times New Roman"/>
          <w:sz w:val="28"/>
          <w:szCs w:val="28"/>
        </w:rPr>
        <w:t>quản trị, cơ sở vật chất và trang thiết bị</w:t>
      </w:r>
      <w:r w:rsidR="003E557D" w:rsidRPr="00F421DC">
        <w:rPr>
          <w:rFonts w:cs="Times New Roman"/>
          <w:sz w:val="28"/>
          <w:szCs w:val="28"/>
        </w:rPr>
        <w:t xml:space="preserve">, vv… </w:t>
      </w:r>
      <w:r w:rsidR="00F66CAE">
        <w:rPr>
          <w:rFonts w:cs="Times New Roman"/>
          <w:sz w:val="28"/>
          <w:szCs w:val="28"/>
        </w:rPr>
        <w:t xml:space="preserve">gắn liền với </w:t>
      </w:r>
      <w:r w:rsidR="00F66CAE" w:rsidRPr="00F421DC">
        <w:rPr>
          <w:rFonts w:cs="Times New Roman"/>
          <w:sz w:val="28"/>
          <w:szCs w:val="28"/>
        </w:rPr>
        <w:t>cuộc Cách mạng Công nghiệp lần thứ 4</w:t>
      </w:r>
      <w:r w:rsidR="00F66CAE">
        <w:rPr>
          <w:rFonts w:cs="Times New Roman"/>
          <w:sz w:val="28"/>
          <w:szCs w:val="28"/>
        </w:rPr>
        <w:t>.</w:t>
      </w:r>
    </w:p>
    <w:p w:rsidR="00EF2421" w:rsidRPr="00F421DC" w:rsidRDefault="00EF75AC" w:rsidP="00F421DC">
      <w:pPr>
        <w:spacing w:after="120" w:line="240" w:lineRule="auto"/>
        <w:ind w:firstLine="709"/>
        <w:jc w:val="both"/>
        <w:rPr>
          <w:rFonts w:cs="Times New Roman"/>
          <w:sz w:val="28"/>
          <w:szCs w:val="28"/>
        </w:rPr>
      </w:pPr>
      <w:r w:rsidRPr="00F421DC">
        <w:rPr>
          <w:rFonts w:cs="Times New Roman"/>
          <w:sz w:val="28"/>
          <w:szCs w:val="28"/>
        </w:rPr>
        <w:t>Để thành công trong hiện đại hóa, các trường ĐHTT cần thành lập bộ phận nghiên cứu và áp dụng những thành tựu của</w:t>
      </w:r>
      <w:r w:rsidR="00C05003" w:rsidRPr="00F421DC">
        <w:rPr>
          <w:rFonts w:cs="Times New Roman"/>
          <w:sz w:val="28"/>
          <w:szCs w:val="28"/>
        </w:rPr>
        <w:t xml:space="preserve"> cuộc Cách mạng Công nghiệp lần thứ 4</w:t>
      </w:r>
      <w:r w:rsidR="00584CD9">
        <w:rPr>
          <w:rFonts w:cs="Times New Roman"/>
          <w:sz w:val="28"/>
          <w:szCs w:val="28"/>
        </w:rPr>
        <w:t>, đặc biệt là nghiên cứu mô hình Đại học 4.0 ở các nước có nền GDĐH phát triển</w:t>
      </w:r>
      <w:r w:rsidR="00EF2421" w:rsidRPr="00F421DC">
        <w:rPr>
          <w:rFonts w:cs="Times New Roman"/>
          <w:sz w:val="28"/>
          <w:szCs w:val="28"/>
        </w:rPr>
        <w:t xml:space="preserve">.  </w:t>
      </w:r>
    </w:p>
    <w:p w:rsidR="00D662C0" w:rsidRPr="00F421DC" w:rsidRDefault="00C05003" w:rsidP="00F421DC">
      <w:pPr>
        <w:spacing w:after="120" w:line="240" w:lineRule="auto"/>
        <w:ind w:firstLine="709"/>
        <w:jc w:val="both"/>
        <w:rPr>
          <w:rFonts w:cs="Times New Roman"/>
          <w:i/>
          <w:sz w:val="28"/>
          <w:szCs w:val="28"/>
        </w:rPr>
      </w:pPr>
      <w:r w:rsidRPr="00F421DC">
        <w:rPr>
          <w:rFonts w:cs="Times New Roman"/>
          <w:i/>
          <w:sz w:val="28"/>
          <w:szCs w:val="28"/>
        </w:rPr>
        <w:t xml:space="preserve">2.3.5. </w:t>
      </w:r>
      <w:r w:rsidR="00FB6523" w:rsidRPr="00F421DC">
        <w:rPr>
          <w:rFonts w:cs="Times New Roman"/>
          <w:i/>
          <w:sz w:val="28"/>
          <w:szCs w:val="28"/>
        </w:rPr>
        <w:t>Q</w:t>
      </w:r>
      <w:r w:rsidR="008379D6" w:rsidRPr="00F421DC">
        <w:rPr>
          <w:rFonts w:cs="Times New Roman"/>
          <w:i/>
          <w:sz w:val="28"/>
          <w:szCs w:val="28"/>
        </w:rPr>
        <w:t xml:space="preserve">uốc tế hóa </w:t>
      </w:r>
      <w:r w:rsidR="00D662C0" w:rsidRPr="00F421DC">
        <w:rPr>
          <w:rFonts w:cs="Times New Roman"/>
          <w:i/>
          <w:sz w:val="28"/>
          <w:szCs w:val="28"/>
        </w:rPr>
        <w:t xml:space="preserve">các trường </w:t>
      </w:r>
      <w:r w:rsidR="00FB6523" w:rsidRPr="00F421DC">
        <w:rPr>
          <w:rFonts w:cs="Times New Roman"/>
          <w:i/>
          <w:sz w:val="28"/>
          <w:szCs w:val="28"/>
        </w:rPr>
        <w:t>đại học tư thục</w:t>
      </w:r>
      <w:r w:rsidR="00D662C0" w:rsidRPr="00F421DC">
        <w:rPr>
          <w:rFonts w:cs="Times New Roman"/>
          <w:i/>
          <w:sz w:val="28"/>
          <w:szCs w:val="28"/>
        </w:rPr>
        <w:t xml:space="preserve"> Việt Nam</w:t>
      </w:r>
    </w:p>
    <w:p w:rsidR="0034079F" w:rsidRPr="00F421DC" w:rsidRDefault="00A231C3" w:rsidP="00F421DC">
      <w:pPr>
        <w:spacing w:after="120" w:line="240" w:lineRule="auto"/>
        <w:ind w:firstLine="709"/>
        <w:jc w:val="both"/>
        <w:rPr>
          <w:rStyle w:val="fontstyle01"/>
          <w:rFonts w:ascii="Times New Roman" w:hAnsi="Times New Roman" w:cs="Times New Roman"/>
          <w:color w:val="auto"/>
          <w:sz w:val="28"/>
          <w:szCs w:val="28"/>
        </w:rPr>
      </w:pPr>
      <w:r w:rsidRPr="00F421DC">
        <w:rPr>
          <w:rFonts w:cs="Times New Roman"/>
          <w:sz w:val="28"/>
          <w:szCs w:val="28"/>
        </w:rPr>
        <w:t xml:space="preserve">Quốc tế hóa (QTH) các cơ sở GDĐH </w:t>
      </w:r>
      <w:r w:rsidR="00D662C0" w:rsidRPr="00F421DC">
        <w:rPr>
          <w:rFonts w:cs="Times New Roman"/>
          <w:sz w:val="28"/>
          <w:szCs w:val="28"/>
        </w:rPr>
        <w:t xml:space="preserve">là </w:t>
      </w:r>
      <w:r w:rsidR="002E5664" w:rsidRPr="00F421DC">
        <w:rPr>
          <w:rFonts w:cs="Times New Roman"/>
          <w:sz w:val="28"/>
          <w:szCs w:val="28"/>
        </w:rPr>
        <w:t xml:space="preserve">quá trình hợp nhất yếu tố quốc tế, liên văn hóa hay toàn cầu vào các chức năng đào tạo, nghiên cứu và phục vụ của cơ sở GDĐH </w:t>
      </w:r>
      <w:r w:rsidR="00724D2D" w:rsidRPr="00F421DC">
        <w:rPr>
          <w:rFonts w:cs="Times New Roman"/>
          <w:sz w:val="28"/>
          <w:szCs w:val="28"/>
        </w:rPr>
        <w:t>nhằm nâng cao chất lượng GD và nghiên cứu cho SV và đội ngũ, và tạo ra sự đóng góp lớn cho xã hội</w:t>
      </w:r>
      <w:r w:rsidR="0063265F" w:rsidRPr="00F421DC">
        <w:rPr>
          <w:rFonts w:cs="Times New Roman"/>
          <w:sz w:val="28"/>
          <w:szCs w:val="28"/>
        </w:rPr>
        <w:t xml:space="preserve"> </w:t>
      </w:r>
      <w:r w:rsidR="00531D35" w:rsidRPr="00F421DC">
        <w:rPr>
          <w:rFonts w:cs="Times New Roman"/>
          <w:sz w:val="28"/>
          <w:szCs w:val="28"/>
        </w:rPr>
        <w:t>[</w:t>
      </w:r>
      <w:r w:rsidR="0063265F" w:rsidRPr="00F421DC">
        <w:rPr>
          <w:rFonts w:cs="Times New Roman"/>
          <w:sz w:val="28"/>
          <w:szCs w:val="28"/>
        </w:rPr>
        <w:t>6</w:t>
      </w:r>
      <w:r w:rsidR="00531D35" w:rsidRPr="00F421DC">
        <w:rPr>
          <w:rFonts w:cs="Times New Roman"/>
          <w:sz w:val="28"/>
          <w:szCs w:val="28"/>
        </w:rPr>
        <w:t>]</w:t>
      </w:r>
      <w:r w:rsidR="002E5664" w:rsidRPr="00F421DC">
        <w:rPr>
          <w:rFonts w:cs="Times New Roman"/>
          <w:sz w:val="28"/>
          <w:szCs w:val="28"/>
        </w:rPr>
        <w:t>.</w:t>
      </w:r>
      <w:r w:rsidR="004120F5" w:rsidRPr="00F421DC">
        <w:rPr>
          <w:rFonts w:cs="Times New Roman"/>
          <w:sz w:val="28"/>
          <w:szCs w:val="28"/>
        </w:rPr>
        <w:t xml:space="preserve"> </w:t>
      </w:r>
      <w:r w:rsidRPr="00F421DC">
        <w:rPr>
          <w:rFonts w:cs="Times New Roman"/>
          <w:sz w:val="28"/>
          <w:szCs w:val="28"/>
        </w:rPr>
        <w:t xml:space="preserve">Cụ thể hơn, </w:t>
      </w:r>
      <w:r w:rsidR="002E5664" w:rsidRPr="00F421DC">
        <w:rPr>
          <w:rFonts w:cs="Times New Roman"/>
          <w:sz w:val="28"/>
          <w:szCs w:val="28"/>
        </w:rPr>
        <w:t xml:space="preserve">QTH </w:t>
      </w:r>
      <w:r w:rsidRPr="00F421DC">
        <w:rPr>
          <w:rFonts w:cs="Times New Roman"/>
          <w:sz w:val="28"/>
          <w:szCs w:val="28"/>
        </w:rPr>
        <w:t xml:space="preserve">sẽ giúp các cơ sở GDĐH </w:t>
      </w:r>
      <w:r w:rsidR="004120F5" w:rsidRPr="00F421DC">
        <w:rPr>
          <w:rStyle w:val="fontstyle01"/>
          <w:rFonts w:ascii="Times New Roman" w:hAnsi="Times New Roman" w:cs="Times New Roman"/>
          <w:color w:val="auto"/>
          <w:sz w:val="28"/>
          <w:szCs w:val="28"/>
        </w:rPr>
        <w:t xml:space="preserve">phát triển </w:t>
      </w:r>
      <w:r w:rsidR="0034079F" w:rsidRPr="00F421DC">
        <w:rPr>
          <w:rStyle w:val="fontstyle01"/>
          <w:rFonts w:ascii="Times New Roman" w:hAnsi="Times New Roman" w:cs="Times New Roman"/>
          <w:color w:val="auto"/>
          <w:sz w:val="28"/>
          <w:szCs w:val="28"/>
        </w:rPr>
        <w:t>thương hiệu quốc tế</w:t>
      </w:r>
      <w:r w:rsidRPr="00F421DC">
        <w:rPr>
          <w:rStyle w:val="fontstyle01"/>
          <w:rFonts w:ascii="Times New Roman" w:hAnsi="Times New Roman" w:cs="Times New Roman"/>
          <w:color w:val="auto"/>
          <w:sz w:val="28"/>
          <w:szCs w:val="28"/>
        </w:rPr>
        <w:t>,</w:t>
      </w:r>
      <w:r w:rsidR="0034079F" w:rsidRPr="00F421DC">
        <w:rPr>
          <w:rStyle w:val="fontstyle01"/>
          <w:rFonts w:ascii="Times New Roman" w:hAnsi="Times New Roman" w:cs="Times New Roman"/>
          <w:color w:val="auto"/>
          <w:sz w:val="28"/>
          <w:szCs w:val="28"/>
        </w:rPr>
        <w:t xml:space="preserve"> nâng cao chất lượng</w:t>
      </w:r>
      <w:r w:rsidR="004120F5" w:rsidRPr="00F421DC">
        <w:rPr>
          <w:rStyle w:val="fontstyle01"/>
          <w:rFonts w:ascii="Times New Roman" w:hAnsi="Times New Roman" w:cs="Times New Roman"/>
          <w:color w:val="auto"/>
          <w:sz w:val="28"/>
          <w:szCs w:val="28"/>
        </w:rPr>
        <w:t xml:space="preserve"> theo </w:t>
      </w:r>
      <w:r w:rsidR="0034079F" w:rsidRPr="00F421DC">
        <w:rPr>
          <w:rStyle w:val="fontstyle01"/>
          <w:rFonts w:ascii="Times New Roman" w:hAnsi="Times New Roman" w:cs="Times New Roman"/>
          <w:color w:val="auto"/>
          <w:sz w:val="28"/>
          <w:szCs w:val="28"/>
        </w:rPr>
        <w:t>các tiêu chuẩn quốc tế</w:t>
      </w:r>
      <w:r w:rsidRPr="00F421DC">
        <w:rPr>
          <w:rStyle w:val="fontstyle01"/>
          <w:rFonts w:ascii="Times New Roman" w:hAnsi="Times New Roman" w:cs="Times New Roman"/>
          <w:color w:val="auto"/>
          <w:sz w:val="28"/>
          <w:szCs w:val="28"/>
        </w:rPr>
        <w:t>,</w:t>
      </w:r>
      <w:r w:rsidR="0034079F" w:rsidRPr="00F421DC">
        <w:rPr>
          <w:rStyle w:val="fontstyle01"/>
          <w:rFonts w:ascii="Times New Roman" w:hAnsi="Times New Roman" w:cs="Times New Roman"/>
          <w:color w:val="auto"/>
          <w:sz w:val="28"/>
          <w:szCs w:val="28"/>
        </w:rPr>
        <w:t xml:space="preserve"> phát triển GV và SV</w:t>
      </w:r>
      <w:r w:rsidR="004120F5" w:rsidRPr="00F421DC">
        <w:rPr>
          <w:rStyle w:val="fontstyle01"/>
          <w:rFonts w:ascii="Times New Roman" w:hAnsi="Times New Roman" w:cs="Times New Roman"/>
          <w:color w:val="auto"/>
          <w:sz w:val="28"/>
          <w:szCs w:val="28"/>
        </w:rPr>
        <w:t xml:space="preserve"> quốc tế</w:t>
      </w:r>
      <w:r w:rsidRPr="00F421DC">
        <w:rPr>
          <w:rStyle w:val="fontstyle01"/>
          <w:rFonts w:ascii="Times New Roman" w:hAnsi="Times New Roman" w:cs="Times New Roman"/>
          <w:color w:val="auto"/>
          <w:sz w:val="28"/>
          <w:szCs w:val="28"/>
        </w:rPr>
        <w:t>,</w:t>
      </w:r>
      <w:r w:rsidR="0034079F" w:rsidRPr="00F421DC">
        <w:rPr>
          <w:rStyle w:val="fontstyle01"/>
          <w:rFonts w:ascii="Times New Roman" w:hAnsi="Times New Roman" w:cs="Times New Roman"/>
          <w:color w:val="auto"/>
          <w:sz w:val="28"/>
          <w:szCs w:val="28"/>
        </w:rPr>
        <w:t xml:space="preserve"> </w:t>
      </w:r>
      <w:r w:rsidR="004120F5" w:rsidRPr="00F421DC">
        <w:rPr>
          <w:rStyle w:val="fontstyle01"/>
          <w:rFonts w:ascii="Times New Roman" w:hAnsi="Times New Roman" w:cs="Times New Roman"/>
          <w:color w:val="auto"/>
          <w:sz w:val="28"/>
          <w:szCs w:val="28"/>
        </w:rPr>
        <w:t xml:space="preserve">hình thành </w:t>
      </w:r>
      <w:r w:rsidR="0034079F" w:rsidRPr="00F421DC">
        <w:rPr>
          <w:rStyle w:val="fontstyle01"/>
          <w:rFonts w:ascii="Times New Roman" w:hAnsi="Times New Roman" w:cs="Times New Roman"/>
          <w:color w:val="auto"/>
          <w:sz w:val="28"/>
          <w:szCs w:val="28"/>
        </w:rPr>
        <w:t xml:space="preserve">các liên minh </w:t>
      </w:r>
      <w:r w:rsidR="004120F5" w:rsidRPr="00F421DC">
        <w:rPr>
          <w:rStyle w:val="fontstyle01"/>
          <w:rFonts w:ascii="Times New Roman" w:hAnsi="Times New Roman" w:cs="Times New Roman"/>
          <w:color w:val="auto"/>
          <w:sz w:val="28"/>
          <w:szCs w:val="28"/>
        </w:rPr>
        <w:t xml:space="preserve">quốc tế </w:t>
      </w:r>
      <w:r w:rsidR="0034079F" w:rsidRPr="00F421DC">
        <w:rPr>
          <w:rStyle w:val="fontstyle01"/>
          <w:rFonts w:ascii="Times New Roman" w:hAnsi="Times New Roman" w:cs="Times New Roman"/>
          <w:color w:val="auto"/>
          <w:sz w:val="28"/>
          <w:szCs w:val="28"/>
        </w:rPr>
        <w:t>chiến lượ</w:t>
      </w:r>
      <w:r w:rsidRPr="00F421DC">
        <w:rPr>
          <w:rStyle w:val="fontstyle01"/>
          <w:rFonts w:ascii="Times New Roman" w:hAnsi="Times New Roman" w:cs="Times New Roman"/>
          <w:color w:val="auto"/>
          <w:sz w:val="28"/>
          <w:szCs w:val="28"/>
        </w:rPr>
        <w:t>c,</w:t>
      </w:r>
      <w:r w:rsidR="0034079F" w:rsidRPr="00F421DC">
        <w:rPr>
          <w:rStyle w:val="fontstyle01"/>
          <w:rFonts w:ascii="Times New Roman" w:hAnsi="Times New Roman" w:cs="Times New Roman"/>
          <w:color w:val="auto"/>
          <w:sz w:val="28"/>
          <w:szCs w:val="28"/>
        </w:rPr>
        <w:t xml:space="preserve"> </w:t>
      </w:r>
      <w:r w:rsidRPr="00F421DC">
        <w:rPr>
          <w:rStyle w:val="fontstyle01"/>
          <w:rFonts w:ascii="Times New Roman" w:hAnsi="Times New Roman" w:cs="Times New Roman"/>
          <w:color w:val="auto"/>
          <w:sz w:val="28"/>
          <w:szCs w:val="28"/>
        </w:rPr>
        <w:t xml:space="preserve">kiến </w:t>
      </w:r>
      <w:r w:rsidR="0034079F" w:rsidRPr="00F421DC">
        <w:rPr>
          <w:rStyle w:val="fontstyle01"/>
          <w:rFonts w:ascii="Times New Roman" w:hAnsi="Times New Roman" w:cs="Times New Roman"/>
          <w:color w:val="auto"/>
          <w:sz w:val="28"/>
          <w:szCs w:val="28"/>
        </w:rPr>
        <w:t>tạo kiến thức</w:t>
      </w:r>
      <w:r w:rsidRPr="00F421DC">
        <w:rPr>
          <w:rStyle w:val="fontstyle01"/>
          <w:rFonts w:ascii="Times New Roman" w:hAnsi="Times New Roman" w:cs="Times New Roman"/>
          <w:color w:val="auto"/>
          <w:sz w:val="28"/>
          <w:szCs w:val="28"/>
        </w:rPr>
        <w:t>,</w:t>
      </w:r>
      <w:r w:rsidR="00531D35" w:rsidRPr="00F421DC">
        <w:rPr>
          <w:rStyle w:val="fontstyle01"/>
          <w:rFonts w:ascii="Times New Roman" w:hAnsi="Times New Roman" w:cs="Times New Roman"/>
          <w:color w:val="auto"/>
          <w:sz w:val="28"/>
          <w:szCs w:val="28"/>
        </w:rPr>
        <w:t xml:space="preserve"> tăng nguồn thu</w:t>
      </w:r>
      <w:r w:rsidR="0063265F" w:rsidRPr="00F421DC">
        <w:rPr>
          <w:rStyle w:val="fontstyle01"/>
          <w:rFonts w:ascii="Times New Roman" w:hAnsi="Times New Roman" w:cs="Times New Roman"/>
          <w:color w:val="auto"/>
          <w:sz w:val="28"/>
          <w:szCs w:val="28"/>
        </w:rPr>
        <w:t xml:space="preserve"> </w:t>
      </w:r>
      <w:r w:rsidR="0034079F" w:rsidRPr="00F421DC">
        <w:rPr>
          <w:rStyle w:val="fontstyle01"/>
          <w:rFonts w:ascii="Times New Roman" w:hAnsi="Times New Roman" w:cs="Times New Roman"/>
          <w:color w:val="auto"/>
          <w:sz w:val="28"/>
          <w:szCs w:val="28"/>
        </w:rPr>
        <w:t>[</w:t>
      </w:r>
      <w:r w:rsidR="0063265F" w:rsidRPr="00F421DC">
        <w:rPr>
          <w:rStyle w:val="fontstyle01"/>
          <w:rFonts w:ascii="Times New Roman" w:hAnsi="Times New Roman" w:cs="Times New Roman"/>
          <w:color w:val="auto"/>
          <w:sz w:val="28"/>
          <w:szCs w:val="28"/>
        </w:rPr>
        <w:t>9</w:t>
      </w:r>
      <w:r w:rsidR="0034079F" w:rsidRPr="00F421DC">
        <w:rPr>
          <w:rStyle w:val="fontstyle01"/>
          <w:rFonts w:ascii="Times New Roman" w:hAnsi="Times New Roman" w:cs="Times New Roman"/>
          <w:color w:val="auto"/>
          <w:sz w:val="28"/>
          <w:szCs w:val="28"/>
        </w:rPr>
        <w:t>]</w:t>
      </w:r>
      <w:r w:rsidR="00912FE6" w:rsidRPr="00F421DC">
        <w:rPr>
          <w:rStyle w:val="fontstyle01"/>
          <w:rFonts w:ascii="Times New Roman" w:hAnsi="Times New Roman" w:cs="Times New Roman"/>
          <w:color w:val="auto"/>
          <w:sz w:val="28"/>
          <w:szCs w:val="28"/>
        </w:rPr>
        <w:t>.</w:t>
      </w:r>
    </w:p>
    <w:p w:rsidR="00A231C3" w:rsidRPr="00F421DC" w:rsidRDefault="001E085A" w:rsidP="00F421DC">
      <w:pPr>
        <w:spacing w:after="120" w:line="240" w:lineRule="auto"/>
        <w:ind w:firstLine="709"/>
        <w:jc w:val="both"/>
        <w:rPr>
          <w:rFonts w:cs="Times New Roman"/>
          <w:sz w:val="28"/>
          <w:szCs w:val="28"/>
        </w:rPr>
      </w:pPr>
      <w:r w:rsidRPr="00F421DC">
        <w:rPr>
          <w:rStyle w:val="fontstyle01"/>
          <w:rFonts w:ascii="Times New Roman" w:hAnsi="Times New Roman" w:cs="Times New Roman"/>
          <w:color w:val="auto"/>
          <w:sz w:val="28"/>
          <w:szCs w:val="28"/>
        </w:rPr>
        <w:t xml:space="preserve">Các trường ĐHTT cần </w:t>
      </w:r>
      <w:r w:rsidR="00D83317" w:rsidRPr="00F421DC">
        <w:rPr>
          <w:rStyle w:val="fontstyle01"/>
          <w:rFonts w:ascii="Times New Roman" w:hAnsi="Times New Roman" w:cs="Times New Roman"/>
          <w:color w:val="auto"/>
          <w:sz w:val="28"/>
          <w:szCs w:val="28"/>
        </w:rPr>
        <w:t xml:space="preserve">xác định QTH là </w:t>
      </w:r>
      <w:r w:rsidR="00833456" w:rsidRPr="00F421DC">
        <w:rPr>
          <w:rStyle w:val="fontstyle01"/>
          <w:rFonts w:ascii="Times New Roman" w:hAnsi="Times New Roman" w:cs="Times New Roman"/>
          <w:color w:val="auto"/>
          <w:sz w:val="28"/>
          <w:szCs w:val="28"/>
        </w:rPr>
        <w:t xml:space="preserve">một </w:t>
      </w:r>
      <w:r w:rsidR="00D83317" w:rsidRPr="00F421DC">
        <w:rPr>
          <w:rStyle w:val="fontstyle01"/>
          <w:rFonts w:ascii="Times New Roman" w:hAnsi="Times New Roman" w:cs="Times New Roman"/>
          <w:color w:val="auto"/>
          <w:sz w:val="28"/>
          <w:szCs w:val="28"/>
        </w:rPr>
        <w:t xml:space="preserve">mục tiêu </w:t>
      </w:r>
      <w:r w:rsidR="00833456" w:rsidRPr="00F421DC">
        <w:rPr>
          <w:rStyle w:val="fontstyle01"/>
          <w:rFonts w:ascii="Times New Roman" w:hAnsi="Times New Roman" w:cs="Times New Roman"/>
          <w:color w:val="auto"/>
          <w:sz w:val="28"/>
          <w:szCs w:val="28"/>
        </w:rPr>
        <w:t>chiến lược quan trọng</w:t>
      </w:r>
      <w:r w:rsidR="00D83317" w:rsidRPr="00F421DC">
        <w:rPr>
          <w:rStyle w:val="fontstyle01"/>
          <w:rFonts w:ascii="Times New Roman" w:hAnsi="Times New Roman" w:cs="Times New Roman"/>
          <w:color w:val="auto"/>
          <w:sz w:val="28"/>
          <w:szCs w:val="28"/>
        </w:rPr>
        <w:t xml:space="preserve"> trong phát triển nhà trườ</w:t>
      </w:r>
      <w:r w:rsidR="0027395D" w:rsidRPr="00F421DC">
        <w:rPr>
          <w:rStyle w:val="fontstyle01"/>
          <w:rFonts w:ascii="Times New Roman" w:hAnsi="Times New Roman" w:cs="Times New Roman"/>
          <w:color w:val="auto"/>
          <w:sz w:val="28"/>
          <w:szCs w:val="28"/>
        </w:rPr>
        <w:t xml:space="preserve">ng để </w:t>
      </w:r>
      <w:r w:rsidR="00AA3EDF" w:rsidRPr="00F421DC">
        <w:rPr>
          <w:rStyle w:val="fontstyle01"/>
          <w:rFonts w:ascii="Times New Roman" w:hAnsi="Times New Roman" w:cs="Times New Roman"/>
          <w:color w:val="auto"/>
          <w:sz w:val="28"/>
          <w:szCs w:val="28"/>
        </w:rPr>
        <w:t xml:space="preserve">chuẩn hóa, hiện đại hóa và </w:t>
      </w:r>
      <w:r w:rsidR="0027395D" w:rsidRPr="00F421DC">
        <w:rPr>
          <w:rStyle w:val="fontstyle01"/>
          <w:rFonts w:ascii="Times New Roman" w:hAnsi="Times New Roman" w:cs="Times New Roman"/>
          <w:color w:val="auto"/>
          <w:sz w:val="28"/>
          <w:szCs w:val="28"/>
        </w:rPr>
        <w:t>n</w:t>
      </w:r>
      <w:r w:rsidR="00A231C3" w:rsidRPr="00F421DC">
        <w:rPr>
          <w:rFonts w:cs="Times New Roman"/>
          <w:sz w:val="28"/>
          <w:szCs w:val="28"/>
        </w:rPr>
        <w:t>âng cao chất lượng qua đó phát triển năng lực cạnh tranh và hội nhập quốc tế</w:t>
      </w:r>
      <w:r w:rsidR="0027395D" w:rsidRPr="00F421DC">
        <w:rPr>
          <w:rFonts w:cs="Times New Roman"/>
          <w:sz w:val="28"/>
          <w:szCs w:val="28"/>
        </w:rPr>
        <w:t>,</w:t>
      </w:r>
      <w:r w:rsidR="00A231C3" w:rsidRPr="00F421DC">
        <w:rPr>
          <w:rFonts w:cs="Times New Roman"/>
          <w:sz w:val="28"/>
          <w:szCs w:val="28"/>
        </w:rPr>
        <w:t xml:space="preserve"> đặc biệt là hướng tới </w:t>
      </w:r>
      <w:r w:rsidR="0027395D" w:rsidRPr="00F421DC">
        <w:rPr>
          <w:rFonts w:cs="Times New Roman"/>
          <w:sz w:val="28"/>
          <w:szCs w:val="28"/>
        </w:rPr>
        <w:t>mục tiêu</w:t>
      </w:r>
      <w:r w:rsidR="00A231C3" w:rsidRPr="00F421DC">
        <w:rPr>
          <w:rFonts w:cs="Times New Roman"/>
          <w:sz w:val="28"/>
          <w:szCs w:val="28"/>
        </w:rPr>
        <w:t xml:space="preserve"> xếp hạng ĐH hàng đầu khu vực và thế giới.</w:t>
      </w:r>
      <w:r w:rsidR="00833456" w:rsidRPr="00F421DC">
        <w:rPr>
          <w:rFonts w:cs="Times New Roman"/>
          <w:sz w:val="28"/>
          <w:szCs w:val="28"/>
        </w:rPr>
        <w:t xml:space="preserve"> Để QTH thành công, cần thiết phải có sự cam kết của lãnh đạo nhà trường – yếu tố tiên quyết và quyết định của QTH (cam kết về chủ trương, về nguồn lực của QTH), sự ủng hộ và tham gia của toàn thể đội ngũ và người học, thiết lập bộ phận tổ chức QTH, hình thành chính sách QTH, xây dựng và tổ chức thực hiện kế hoạch hành động QTH.</w:t>
      </w:r>
    </w:p>
    <w:p w:rsidR="00D179E7" w:rsidRPr="00F421DC" w:rsidRDefault="00D179E7" w:rsidP="00F421DC">
      <w:pPr>
        <w:spacing w:after="120" w:line="240" w:lineRule="auto"/>
        <w:ind w:firstLine="709"/>
        <w:jc w:val="both"/>
        <w:rPr>
          <w:rStyle w:val="fontstyle01"/>
          <w:rFonts w:ascii="Times New Roman" w:hAnsi="Times New Roman" w:cs="Times New Roman"/>
          <w:color w:val="auto"/>
          <w:sz w:val="28"/>
          <w:szCs w:val="28"/>
        </w:rPr>
      </w:pPr>
      <w:r w:rsidRPr="00F421DC">
        <w:rPr>
          <w:rStyle w:val="fontstyle01"/>
          <w:rFonts w:ascii="Times New Roman" w:hAnsi="Times New Roman" w:cs="Times New Roman"/>
          <w:color w:val="auto"/>
          <w:sz w:val="28"/>
          <w:szCs w:val="28"/>
        </w:rPr>
        <w:t>QTH các trường ĐHTT cần được đặt trong tổng thể QTH GDĐH Việt Nam. Theo đó, Chính phủ cần ban hành Chính sách QTH GDĐH Việt Nam (cấp độ QTH nền GD) nhằm xác định các nội dung hành động cấp thiết và các chính sách tạo điều kiện thuận lợi cho QTH nhằm đạt được các mục tiêu mà Nghị quyết 29 đã đề ra.</w:t>
      </w:r>
    </w:p>
    <w:p w:rsidR="00374DE0" w:rsidRPr="00F421DC" w:rsidRDefault="00A32150" w:rsidP="00F421DC">
      <w:pPr>
        <w:shd w:val="clear" w:color="auto" w:fill="FFFFFF"/>
        <w:spacing w:after="120" w:line="240" w:lineRule="auto"/>
        <w:ind w:firstLine="709"/>
        <w:jc w:val="both"/>
        <w:rPr>
          <w:rFonts w:eastAsia="Times New Roman" w:cs="Times New Roman"/>
          <w:b/>
          <w:iCs/>
          <w:sz w:val="28"/>
          <w:szCs w:val="28"/>
        </w:rPr>
      </w:pPr>
      <w:r w:rsidRPr="00F421DC">
        <w:rPr>
          <w:rFonts w:eastAsia="Times New Roman" w:cs="Times New Roman"/>
          <w:b/>
          <w:sz w:val="28"/>
          <w:szCs w:val="28"/>
        </w:rPr>
        <w:t>2.4. Kết luận</w:t>
      </w:r>
      <w:r w:rsidR="00374DE0" w:rsidRPr="00F421DC">
        <w:rPr>
          <w:rFonts w:eastAsia="Times New Roman" w:cs="Times New Roman"/>
          <w:b/>
          <w:iCs/>
          <w:sz w:val="28"/>
          <w:szCs w:val="28"/>
        </w:rPr>
        <w:t xml:space="preserve"> </w:t>
      </w:r>
    </w:p>
    <w:bookmarkEnd w:id="0"/>
    <w:p w:rsidR="00900778" w:rsidRPr="00F421DC" w:rsidRDefault="004D4149" w:rsidP="00F421DC">
      <w:pPr>
        <w:tabs>
          <w:tab w:val="left" w:pos="720"/>
          <w:tab w:val="left" w:pos="1440"/>
          <w:tab w:val="left" w:pos="2160"/>
          <w:tab w:val="left" w:pos="3150"/>
        </w:tabs>
        <w:spacing w:after="120" w:line="240" w:lineRule="auto"/>
        <w:jc w:val="both"/>
        <w:rPr>
          <w:rFonts w:eastAsia="Calibri" w:cs="Times New Roman"/>
          <w:sz w:val="28"/>
          <w:szCs w:val="28"/>
        </w:rPr>
      </w:pPr>
      <w:r w:rsidRPr="00F421DC">
        <w:rPr>
          <w:rFonts w:eastAsia="Calibri" w:cs="Times New Roman"/>
          <w:sz w:val="28"/>
          <w:szCs w:val="28"/>
        </w:rPr>
        <w:tab/>
      </w:r>
      <w:r w:rsidR="006A0FFA" w:rsidRPr="00F421DC">
        <w:rPr>
          <w:rFonts w:eastAsia="Calibri" w:cs="Times New Roman"/>
          <w:sz w:val="28"/>
          <w:szCs w:val="28"/>
        </w:rPr>
        <w:t xml:space="preserve">Phát triển hệ thống ĐHTT Việt Nam theo định hướng hội nhập và cạnh tranh GDĐH quốc tế là </w:t>
      </w:r>
      <w:r w:rsidR="000631DD" w:rsidRPr="00F421DC">
        <w:rPr>
          <w:rFonts w:eastAsia="Calibri" w:cs="Times New Roman"/>
          <w:sz w:val="28"/>
          <w:szCs w:val="28"/>
        </w:rPr>
        <w:t>phù hợp với thực tiễn và xu thế phát triển của GDĐH quốc gia và thế giớ</w:t>
      </w:r>
      <w:r w:rsidR="00312742" w:rsidRPr="00F421DC">
        <w:rPr>
          <w:rFonts w:eastAsia="Calibri" w:cs="Times New Roman"/>
          <w:sz w:val="28"/>
          <w:szCs w:val="28"/>
        </w:rPr>
        <w:t>i để</w:t>
      </w:r>
      <w:r w:rsidR="000631DD" w:rsidRPr="00F421DC">
        <w:rPr>
          <w:rFonts w:eastAsia="Calibri" w:cs="Times New Roman"/>
          <w:sz w:val="28"/>
          <w:szCs w:val="28"/>
        </w:rPr>
        <w:t xml:space="preserve"> thực hiện có hiệu quả các mục tiêu đổi mới GDĐH mà Nghị quyết 29 đã xác đị</w:t>
      </w:r>
      <w:r w:rsidR="00312742" w:rsidRPr="00F421DC">
        <w:rPr>
          <w:rFonts w:eastAsia="Calibri" w:cs="Times New Roman"/>
          <w:sz w:val="28"/>
          <w:szCs w:val="28"/>
        </w:rPr>
        <w:t xml:space="preserve">nh. Tuy nhiên, phát triển hệ thống ĐHTT cần được đặt trong chiến lược tổng thể phát triển GDĐH Việt Nam, cần sự </w:t>
      </w:r>
      <w:r w:rsidR="00885328" w:rsidRPr="00F421DC">
        <w:rPr>
          <w:rFonts w:eastAsia="Calibri" w:cs="Times New Roman"/>
          <w:sz w:val="28"/>
          <w:szCs w:val="28"/>
        </w:rPr>
        <w:t>lãnh đạ</w:t>
      </w:r>
      <w:r w:rsidR="00312742" w:rsidRPr="00F421DC">
        <w:rPr>
          <w:rFonts w:eastAsia="Calibri" w:cs="Times New Roman"/>
          <w:sz w:val="28"/>
          <w:szCs w:val="28"/>
        </w:rPr>
        <w:t>o và</w:t>
      </w:r>
      <w:r w:rsidR="00885328" w:rsidRPr="00F421DC">
        <w:rPr>
          <w:rFonts w:eastAsia="Calibri" w:cs="Times New Roman"/>
          <w:sz w:val="28"/>
          <w:szCs w:val="28"/>
        </w:rPr>
        <w:t xml:space="preserve"> chỉ đạo </w:t>
      </w:r>
      <w:r w:rsidR="00312742" w:rsidRPr="00F421DC">
        <w:rPr>
          <w:rFonts w:eastAsia="Calibri" w:cs="Times New Roman"/>
          <w:sz w:val="28"/>
          <w:szCs w:val="28"/>
        </w:rPr>
        <w:t xml:space="preserve">quyết liệt của lãnh đạo các </w:t>
      </w:r>
      <w:r w:rsidR="000631DD" w:rsidRPr="00F421DC">
        <w:rPr>
          <w:rFonts w:eastAsia="Calibri" w:cs="Times New Roman"/>
          <w:sz w:val="28"/>
          <w:szCs w:val="28"/>
        </w:rPr>
        <w:t>các cơ quan quản lý nhà nước về GDĐH</w:t>
      </w:r>
      <w:r w:rsidR="00312742" w:rsidRPr="00F421DC">
        <w:rPr>
          <w:rFonts w:eastAsia="Calibri" w:cs="Times New Roman"/>
          <w:sz w:val="28"/>
          <w:szCs w:val="28"/>
        </w:rPr>
        <w:t xml:space="preserve"> và sự chủ động, sáng tạo, quyết tâm cao của lãnh đạo các </w:t>
      </w:r>
      <w:r w:rsidR="000631DD" w:rsidRPr="00F421DC">
        <w:rPr>
          <w:rFonts w:eastAsia="Calibri" w:cs="Times New Roman"/>
          <w:sz w:val="28"/>
          <w:szCs w:val="28"/>
        </w:rPr>
        <w:t>các trường ĐHTT Việt Nam.</w:t>
      </w:r>
    </w:p>
    <w:p w:rsidR="00F421DC" w:rsidRDefault="001E2D73" w:rsidP="00F421DC">
      <w:pPr>
        <w:tabs>
          <w:tab w:val="left" w:pos="567"/>
        </w:tabs>
        <w:spacing w:after="120" w:line="240" w:lineRule="auto"/>
        <w:rPr>
          <w:rFonts w:cs="Times New Roman"/>
          <w:sz w:val="28"/>
          <w:szCs w:val="28"/>
        </w:rPr>
      </w:pPr>
      <w:r w:rsidRPr="00F421DC">
        <w:rPr>
          <w:rFonts w:cs="Times New Roman"/>
          <w:sz w:val="28"/>
          <w:szCs w:val="28"/>
        </w:rPr>
        <w:tab/>
      </w:r>
    </w:p>
    <w:p w:rsidR="00F421DC" w:rsidRDefault="00F421DC" w:rsidP="00F421DC">
      <w:pPr>
        <w:tabs>
          <w:tab w:val="left" w:pos="567"/>
        </w:tabs>
        <w:spacing w:after="120" w:line="240" w:lineRule="auto"/>
        <w:rPr>
          <w:rFonts w:cs="Times New Roman"/>
          <w:sz w:val="28"/>
          <w:szCs w:val="28"/>
        </w:rPr>
      </w:pPr>
    </w:p>
    <w:p w:rsidR="00CB414E" w:rsidRPr="00F421DC" w:rsidRDefault="00F421DC" w:rsidP="00F421DC">
      <w:pPr>
        <w:tabs>
          <w:tab w:val="left" w:pos="567"/>
        </w:tabs>
        <w:spacing w:after="120" w:line="240" w:lineRule="auto"/>
        <w:rPr>
          <w:rFonts w:cs="Times New Roman"/>
          <w:b/>
          <w:sz w:val="28"/>
          <w:szCs w:val="28"/>
        </w:rPr>
      </w:pPr>
      <w:r>
        <w:rPr>
          <w:rFonts w:cs="Times New Roman"/>
          <w:sz w:val="28"/>
          <w:szCs w:val="28"/>
        </w:rPr>
        <w:tab/>
      </w:r>
      <w:r w:rsidR="001E2D73" w:rsidRPr="00F421DC">
        <w:rPr>
          <w:rFonts w:cs="Times New Roman"/>
          <w:b/>
          <w:sz w:val="28"/>
          <w:szCs w:val="28"/>
        </w:rPr>
        <w:t>TÀI LIỆU THAM KHẢO</w:t>
      </w:r>
      <w:r w:rsidR="009F0A14" w:rsidRPr="00F421DC">
        <w:rPr>
          <w:rFonts w:cs="Times New Roman"/>
          <w:b/>
          <w:sz w:val="28"/>
          <w:szCs w:val="28"/>
        </w:rPr>
        <w:t>:</w:t>
      </w:r>
    </w:p>
    <w:p w:rsidR="00E540A8" w:rsidRPr="00F421DC" w:rsidRDefault="00E540A8" w:rsidP="00F421DC">
      <w:pPr>
        <w:tabs>
          <w:tab w:val="left" w:pos="993"/>
        </w:tabs>
        <w:spacing w:after="120" w:line="240" w:lineRule="auto"/>
        <w:ind w:firstLine="567"/>
        <w:contextualSpacing/>
        <w:jc w:val="both"/>
        <w:rPr>
          <w:rFonts w:eastAsia="Calibri" w:cs="Times New Roman"/>
          <w:sz w:val="28"/>
          <w:szCs w:val="28"/>
        </w:rPr>
      </w:pPr>
      <w:r w:rsidRPr="00F421DC">
        <w:rPr>
          <w:rFonts w:eastAsia="Calibri" w:cs="Times New Roman"/>
          <w:sz w:val="28"/>
          <w:szCs w:val="28"/>
        </w:rPr>
        <w:t xml:space="preserve">[1] Ban Tuyên giáo Trung ương (2014), </w:t>
      </w:r>
      <w:r w:rsidRPr="00F421DC">
        <w:rPr>
          <w:rFonts w:eastAsia="Calibri" w:cs="Times New Roman"/>
          <w:i/>
          <w:sz w:val="28"/>
          <w:szCs w:val="28"/>
        </w:rPr>
        <w:t>Tài liệu học tập Nghị quyết Hội nghị lần thứ 8 Ban chấp hành Trung ương Đảng Cộng sản Việt Nam khóa XI,</w:t>
      </w:r>
      <w:r w:rsidRPr="00F421DC">
        <w:rPr>
          <w:rFonts w:eastAsia="Calibri" w:cs="Times New Roman"/>
          <w:sz w:val="28"/>
          <w:szCs w:val="28"/>
        </w:rPr>
        <w:t xml:space="preserve"> Nxb. Chính trị quốc gia, Hà Nội.</w:t>
      </w:r>
    </w:p>
    <w:p w:rsidR="00CB414E" w:rsidRPr="00F421DC" w:rsidRDefault="00E540A8" w:rsidP="00F421DC">
      <w:pPr>
        <w:tabs>
          <w:tab w:val="left" w:pos="567"/>
        </w:tabs>
        <w:spacing w:after="120" w:line="240" w:lineRule="auto"/>
        <w:ind w:firstLine="567"/>
        <w:contextualSpacing/>
        <w:jc w:val="both"/>
        <w:rPr>
          <w:rFonts w:eastAsia="Times New Roman" w:cs="Times New Roman"/>
          <w:sz w:val="28"/>
          <w:szCs w:val="28"/>
          <w:lang w:val="nl-NL"/>
        </w:rPr>
      </w:pPr>
      <w:r w:rsidRPr="00F421DC">
        <w:rPr>
          <w:rFonts w:eastAsia="Times New Roman" w:cs="Times New Roman"/>
          <w:sz w:val="28"/>
          <w:szCs w:val="28"/>
          <w:lang w:val="pl-PL"/>
        </w:rPr>
        <w:t>[2</w:t>
      </w:r>
      <w:r w:rsidR="00747824" w:rsidRPr="00F421DC">
        <w:rPr>
          <w:rFonts w:eastAsia="Times New Roman" w:cs="Times New Roman"/>
          <w:sz w:val="28"/>
          <w:szCs w:val="28"/>
          <w:lang w:val="pl-PL"/>
        </w:rPr>
        <w:t xml:space="preserve">] </w:t>
      </w:r>
      <w:r w:rsidR="00CB414E" w:rsidRPr="00F421DC">
        <w:rPr>
          <w:rFonts w:eastAsia="Times New Roman" w:cs="Times New Roman"/>
          <w:sz w:val="28"/>
          <w:szCs w:val="28"/>
          <w:lang w:val="pl-PL"/>
        </w:rPr>
        <w:t xml:space="preserve">Bộ Giáo dục và Đào tạo (2017), </w:t>
      </w:r>
      <w:r w:rsidR="00CB414E" w:rsidRPr="00F421DC">
        <w:rPr>
          <w:rFonts w:eastAsia="Times New Roman" w:cs="Times New Roman"/>
          <w:i/>
          <w:sz w:val="28"/>
          <w:szCs w:val="28"/>
          <w:lang w:val="pl-PL"/>
        </w:rPr>
        <w:t>Báo cáo tổng hợp kết quả nghiên cứu</w:t>
      </w:r>
      <w:r w:rsidR="00A830DE" w:rsidRPr="00F421DC">
        <w:rPr>
          <w:rFonts w:eastAsia="Times New Roman" w:cs="Times New Roman"/>
          <w:i/>
          <w:sz w:val="28"/>
          <w:szCs w:val="28"/>
          <w:lang w:val="pl-PL"/>
        </w:rPr>
        <w:t xml:space="preserve"> </w:t>
      </w:r>
      <w:r w:rsidR="00CB414E" w:rsidRPr="00F421DC">
        <w:rPr>
          <w:rFonts w:eastAsia="Times New Roman" w:cs="Times New Roman"/>
          <w:i/>
          <w:sz w:val="28"/>
          <w:szCs w:val="28"/>
          <w:lang w:val="pl-PL"/>
        </w:rPr>
        <w:t xml:space="preserve">các trường đại học ngoài công lập, </w:t>
      </w:r>
      <w:bookmarkStart w:id="1" w:name="_Ref244968284"/>
      <w:r w:rsidR="00CB414E" w:rsidRPr="00F421DC">
        <w:rPr>
          <w:rFonts w:eastAsia="Times New Roman" w:cs="Times New Roman"/>
          <w:sz w:val="28"/>
          <w:szCs w:val="28"/>
          <w:lang w:val="pl-PL"/>
        </w:rPr>
        <w:t xml:space="preserve">Tp. </w:t>
      </w:r>
      <w:r w:rsidR="00CB414E" w:rsidRPr="00F421DC">
        <w:rPr>
          <w:rFonts w:eastAsia="Calibri" w:cs="Times New Roman"/>
          <w:sz w:val="28"/>
          <w:szCs w:val="28"/>
        </w:rPr>
        <w:t>Hồ Chí Minh</w:t>
      </w:r>
      <w:r w:rsidR="00CB414E" w:rsidRPr="00F421DC">
        <w:rPr>
          <w:rFonts w:eastAsia="Times New Roman" w:cs="Times New Roman"/>
          <w:sz w:val="28"/>
          <w:szCs w:val="28"/>
          <w:lang w:val="nl-NL"/>
        </w:rPr>
        <w:t>.</w:t>
      </w:r>
      <w:bookmarkEnd w:id="1"/>
    </w:p>
    <w:p w:rsidR="00C31E43" w:rsidRPr="00F421DC" w:rsidRDefault="00E540A8" w:rsidP="00F421DC">
      <w:pPr>
        <w:tabs>
          <w:tab w:val="left" w:pos="567"/>
        </w:tabs>
        <w:spacing w:after="120" w:line="240" w:lineRule="auto"/>
        <w:ind w:firstLine="567"/>
        <w:contextualSpacing/>
        <w:jc w:val="both"/>
        <w:rPr>
          <w:rFonts w:eastAsia="Times New Roman" w:cs="Times New Roman"/>
          <w:sz w:val="28"/>
          <w:szCs w:val="28"/>
        </w:rPr>
      </w:pPr>
      <w:r w:rsidRPr="00F421DC">
        <w:rPr>
          <w:rFonts w:eastAsia="Times New Roman" w:cs="Times New Roman"/>
          <w:sz w:val="28"/>
          <w:szCs w:val="28"/>
          <w:lang w:val="pl-PL"/>
        </w:rPr>
        <w:t>[3</w:t>
      </w:r>
      <w:r w:rsidR="00561560" w:rsidRPr="00F421DC">
        <w:rPr>
          <w:rFonts w:eastAsia="Times New Roman" w:cs="Times New Roman"/>
          <w:sz w:val="28"/>
          <w:szCs w:val="28"/>
          <w:lang w:val="pl-PL"/>
        </w:rPr>
        <w:t xml:space="preserve">] Bộ Giáo dục và Đào tạo (2018), </w:t>
      </w:r>
      <w:r w:rsidR="008E1F6A" w:rsidRPr="00F421DC">
        <w:rPr>
          <w:rFonts w:eastAsia="Times New Roman" w:cs="Times New Roman"/>
          <w:i/>
          <w:sz w:val="28"/>
          <w:szCs w:val="28"/>
          <w:lang w:val="pl-PL"/>
        </w:rPr>
        <w:t>Tài liệu Hội nghị chủ tịch Hội đồng trường, Hiệu trưởng các cơ sở giáo dục đại học và trường sư phạm năm 2018</w:t>
      </w:r>
      <w:r w:rsidR="00561560" w:rsidRPr="00F421DC">
        <w:rPr>
          <w:rFonts w:eastAsia="Times New Roman" w:cs="Times New Roman"/>
          <w:i/>
          <w:sz w:val="28"/>
          <w:szCs w:val="28"/>
          <w:lang w:val="pl-PL"/>
        </w:rPr>
        <w:t xml:space="preserve">, </w:t>
      </w:r>
      <w:r w:rsidR="00561560" w:rsidRPr="00F421DC">
        <w:rPr>
          <w:rFonts w:eastAsia="Times New Roman" w:cs="Times New Roman"/>
          <w:sz w:val="28"/>
          <w:szCs w:val="28"/>
          <w:lang w:val="pl-PL"/>
        </w:rPr>
        <w:t xml:space="preserve">Tp. </w:t>
      </w:r>
      <w:r w:rsidR="00561560" w:rsidRPr="00F421DC">
        <w:rPr>
          <w:rFonts w:eastAsia="Calibri" w:cs="Times New Roman"/>
          <w:sz w:val="28"/>
          <w:szCs w:val="28"/>
        </w:rPr>
        <w:t>Hà Nội</w:t>
      </w:r>
      <w:r w:rsidR="00561560" w:rsidRPr="00F421DC">
        <w:rPr>
          <w:rFonts w:eastAsia="Times New Roman" w:cs="Times New Roman"/>
          <w:sz w:val="28"/>
          <w:szCs w:val="28"/>
          <w:lang w:val="nl-NL"/>
        </w:rPr>
        <w:t>.</w:t>
      </w:r>
    </w:p>
    <w:p w:rsidR="00C31E43" w:rsidRPr="00F421DC" w:rsidRDefault="00C31E43" w:rsidP="00F421DC">
      <w:pPr>
        <w:tabs>
          <w:tab w:val="left" w:pos="567"/>
        </w:tabs>
        <w:spacing w:after="120" w:line="240" w:lineRule="auto"/>
        <w:ind w:firstLine="567"/>
        <w:contextualSpacing/>
        <w:jc w:val="both"/>
        <w:rPr>
          <w:rFonts w:eastAsia="Times New Roman" w:cs="Times New Roman"/>
          <w:sz w:val="28"/>
          <w:szCs w:val="28"/>
        </w:rPr>
      </w:pPr>
      <w:r w:rsidRPr="00F421DC">
        <w:rPr>
          <w:rFonts w:eastAsia="Times New Roman" w:cs="Times New Roman"/>
          <w:sz w:val="28"/>
          <w:szCs w:val="28"/>
        </w:rPr>
        <w:t>[</w:t>
      </w:r>
      <w:r w:rsidR="00E540A8" w:rsidRPr="00F421DC">
        <w:rPr>
          <w:rFonts w:eastAsia="Times New Roman" w:cs="Times New Roman"/>
          <w:sz w:val="28"/>
          <w:szCs w:val="28"/>
        </w:rPr>
        <w:t>4</w:t>
      </w:r>
      <w:r w:rsidRPr="00F421DC">
        <w:rPr>
          <w:rFonts w:eastAsia="Times New Roman" w:cs="Times New Roman"/>
          <w:sz w:val="28"/>
          <w:szCs w:val="28"/>
        </w:rPr>
        <w:t>] Đặng Văn Định</w:t>
      </w:r>
      <w:r w:rsidR="002C2FE8" w:rsidRPr="00F421DC">
        <w:rPr>
          <w:rFonts w:eastAsia="Times New Roman" w:cs="Times New Roman"/>
          <w:sz w:val="28"/>
          <w:szCs w:val="28"/>
        </w:rPr>
        <w:t xml:space="preserve"> (2018), </w:t>
      </w:r>
      <w:r w:rsidR="002C2FE8" w:rsidRPr="00F421DC">
        <w:rPr>
          <w:rFonts w:eastAsia="Times New Roman" w:cs="Times New Roman"/>
          <w:i/>
          <w:sz w:val="28"/>
          <w:szCs w:val="28"/>
        </w:rPr>
        <w:t>Thực trạng và chính sách phát triển giáo dục đại học tư thục</w:t>
      </w:r>
      <w:r w:rsidR="002C2FE8" w:rsidRPr="00F421DC">
        <w:rPr>
          <w:rFonts w:eastAsia="Times New Roman" w:cs="Times New Roman"/>
          <w:sz w:val="28"/>
          <w:szCs w:val="28"/>
        </w:rPr>
        <w:t>, Kỷ yếu Hội thảo</w:t>
      </w:r>
      <w:r w:rsidR="00CD6E02" w:rsidRPr="00F421DC">
        <w:rPr>
          <w:rFonts w:eastAsia="Times New Roman" w:cs="Times New Roman"/>
          <w:sz w:val="28"/>
          <w:szCs w:val="28"/>
        </w:rPr>
        <w:t>:</w:t>
      </w:r>
      <w:r w:rsidR="002C2FE8" w:rsidRPr="00F421DC">
        <w:rPr>
          <w:rFonts w:eastAsia="Times New Roman" w:cs="Times New Roman"/>
          <w:sz w:val="28"/>
          <w:szCs w:val="28"/>
        </w:rPr>
        <w:t xml:space="preserve"> “Cơ sở lý luận và kinh nghiệm quốc tế về phát triển giáo dục đại học ngoài công lập”, </w:t>
      </w:r>
      <w:r w:rsidR="00CD6E02" w:rsidRPr="00F421DC">
        <w:rPr>
          <w:rFonts w:eastAsia="Times New Roman" w:cs="Times New Roman"/>
          <w:sz w:val="28"/>
          <w:szCs w:val="28"/>
        </w:rPr>
        <w:t>tại Trường ĐH Hòa Bình, Hà Nội,</w:t>
      </w:r>
      <w:r w:rsidR="002C2FE8" w:rsidRPr="00F421DC">
        <w:rPr>
          <w:rFonts w:eastAsia="Times New Roman" w:cs="Times New Roman"/>
          <w:sz w:val="28"/>
          <w:szCs w:val="28"/>
        </w:rPr>
        <w:t xml:space="preserve"> tr. 148-160.</w:t>
      </w:r>
    </w:p>
    <w:p w:rsidR="00F6763F" w:rsidRPr="00F421DC" w:rsidRDefault="00E540A8" w:rsidP="00F421DC">
      <w:pPr>
        <w:tabs>
          <w:tab w:val="left" w:pos="567"/>
        </w:tabs>
        <w:spacing w:after="120" w:line="240" w:lineRule="auto"/>
        <w:ind w:firstLine="567"/>
        <w:contextualSpacing/>
        <w:jc w:val="both"/>
        <w:rPr>
          <w:rFonts w:eastAsia="Times New Roman" w:cs="Times New Roman"/>
          <w:bCs/>
          <w:i/>
          <w:sz w:val="28"/>
          <w:szCs w:val="28"/>
        </w:rPr>
      </w:pPr>
      <w:r w:rsidRPr="00F421DC">
        <w:rPr>
          <w:rFonts w:cs="Times New Roman"/>
          <w:sz w:val="28"/>
          <w:szCs w:val="28"/>
        </w:rPr>
        <w:t>[5</w:t>
      </w:r>
      <w:r w:rsidR="00F6763F" w:rsidRPr="00F421DC">
        <w:rPr>
          <w:rFonts w:cs="Times New Roman"/>
          <w:sz w:val="28"/>
          <w:szCs w:val="28"/>
        </w:rPr>
        <w:t xml:space="preserve">] </w:t>
      </w:r>
      <w:r w:rsidR="00F6763F" w:rsidRPr="00F421DC">
        <w:rPr>
          <w:rFonts w:eastAsia="Times New Roman" w:cs="Times New Roman"/>
          <w:sz w:val="28"/>
          <w:szCs w:val="28"/>
        </w:rPr>
        <w:t xml:space="preserve">Hiệp hội các trường đại học, cao đẳng Việt Nam (2013), </w:t>
      </w:r>
      <w:r w:rsidR="00F6763F" w:rsidRPr="00F421DC">
        <w:rPr>
          <w:rFonts w:eastAsia="Times New Roman" w:cs="Times New Roman"/>
          <w:bCs/>
          <w:i/>
          <w:sz w:val="28"/>
          <w:szCs w:val="28"/>
        </w:rPr>
        <w:t>Báo cáo tổng kết 20 năm phát triển mô hình giáo dục đại học ngoài công lập ở Việt Nam (1993 – 2013).</w:t>
      </w:r>
    </w:p>
    <w:p w:rsidR="00724D2D" w:rsidRPr="00F421DC" w:rsidRDefault="00724D2D" w:rsidP="00F421DC">
      <w:pPr>
        <w:tabs>
          <w:tab w:val="left" w:pos="567"/>
        </w:tabs>
        <w:spacing w:after="120" w:line="240" w:lineRule="auto"/>
        <w:ind w:firstLine="567"/>
        <w:contextualSpacing/>
        <w:jc w:val="both"/>
        <w:rPr>
          <w:rFonts w:eastAsia="Times New Roman" w:cs="Times New Roman"/>
          <w:bCs/>
          <w:sz w:val="28"/>
          <w:szCs w:val="28"/>
        </w:rPr>
      </w:pPr>
      <w:r w:rsidRPr="00F421DC">
        <w:rPr>
          <w:rFonts w:eastAsia="Times New Roman" w:cs="Times New Roman"/>
          <w:bCs/>
          <w:sz w:val="28"/>
          <w:szCs w:val="28"/>
        </w:rPr>
        <w:t>[6] De Wit, H.</w:t>
      </w:r>
      <w:r w:rsidR="006F36B4" w:rsidRPr="00F421DC">
        <w:rPr>
          <w:rFonts w:eastAsia="Times New Roman" w:cs="Times New Roman"/>
          <w:bCs/>
          <w:sz w:val="28"/>
          <w:szCs w:val="28"/>
        </w:rPr>
        <w:t>,</w:t>
      </w:r>
      <w:r w:rsidRPr="00F421DC">
        <w:rPr>
          <w:rFonts w:eastAsia="Times New Roman" w:cs="Times New Roman"/>
          <w:bCs/>
          <w:sz w:val="28"/>
          <w:szCs w:val="28"/>
        </w:rPr>
        <w:t xml:space="preserve">  Hunter, F. </w:t>
      </w:r>
      <w:r w:rsidR="006F36B4" w:rsidRPr="00F421DC">
        <w:rPr>
          <w:rFonts w:eastAsia="Times New Roman" w:cs="Times New Roman"/>
          <w:bCs/>
          <w:sz w:val="28"/>
          <w:szCs w:val="28"/>
        </w:rPr>
        <w:t xml:space="preserve">(2015), </w:t>
      </w:r>
      <w:r w:rsidR="006F36B4" w:rsidRPr="00715371">
        <w:rPr>
          <w:rFonts w:cs="Times New Roman"/>
          <w:sz w:val="28"/>
          <w:szCs w:val="28"/>
        </w:rPr>
        <w:t xml:space="preserve">The Future of Internationalization of Higher Education in Europe, </w:t>
      </w:r>
      <w:r w:rsidR="006F36B4" w:rsidRPr="00715371">
        <w:rPr>
          <w:rFonts w:cs="Times New Roman"/>
          <w:i/>
          <w:sz w:val="28"/>
          <w:szCs w:val="28"/>
        </w:rPr>
        <w:t>International Higher Education</w:t>
      </w:r>
      <w:r w:rsidR="006F36B4" w:rsidRPr="00F421DC">
        <w:rPr>
          <w:rFonts w:cs="Times New Roman"/>
          <w:sz w:val="28"/>
          <w:szCs w:val="28"/>
        </w:rPr>
        <w:t>, 83, pp. 2-3.</w:t>
      </w:r>
    </w:p>
    <w:p w:rsidR="00F6763F" w:rsidRPr="00F421DC" w:rsidRDefault="00F6763F" w:rsidP="00F421DC">
      <w:pPr>
        <w:tabs>
          <w:tab w:val="left" w:pos="567"/>
        </w:tabs>
        <w:spacing w:after="120" w:line="240" w:lineRule="auto"/>
        <w:ind w:firstLine="567"/>
        <w:contextualSpacing/>
        <w:jc w:val="both"/>
        <w:rPr>
          <w:rFonts w:cs="Times New Roman"/>
          <w:bCs/>
          <w:sz w:val="28"/>
          <w:szCs w:val="28"/>
        </w:rPr>
      </w:pPr>
      <w:r w:rsidRPr="00F421DC">
        <w:rPr>
          <w:rFonts w:eastAsia="Times New Roman" w:cs="Times New Roman"/>
          <w:sz w:val="28"/>
          <w:szCs w:val="28"/>
        </w:rPr>
        <w:t>[</w:t>
      </w:r>
      <w:r w:rsidR="006A7DCD" w:rsidRPr="00F421DC">
        <w:rPr>
          <w:rFonts w:eastAsia="Times New Roman" w:cs="Times New Roman"/>
          <w:sz w:val="28"/>
          <w:szCs w:val="28"/>
        </w:rPr>
        <w:t>7</w:t>
      </w:r>
      <w:r w:rsidRPr="00F421DC">
        <w:rPr>
          <w:rFonts w:eastAsia="Times New Roman" w:cs="Times New Roman"/>
          <w:sz w:val="28"/>
          <w:szCs w:val="28"/>
        </w:rPr>
        <w:t xml:space="preserve">] Levy, D. C. (2018), </w:t>
      </w:r>
      <w:r w:rsidRPr="00715371">
        <w:rPr>
          <w:rFonts w:cs="Times New Roman"/>
          <w:bCs/>
          <w:sz w:val="28"/>
          <w:szCs w:val="28"/>
        </w:rPr>
        <w:t>Global Private Higher Education: An Empirical Profile of Its Size and Geographical Shape,</w:t>
      </w:r>
      <w:r w:rsidRPr="00F421DC">
        <w:rPr>
          <w:rFonts w:cs="Times New Roman"/>
          <w:bCs/>
          <w:sz w:val="28"/>
          <w:szCs w:val="28"/>
        </w:rPr>
        <w:t xml:space="preserve"> </w:t>
      </w:r>
      <w:bookmarkStart w:id="2" w:name="_GoBack"/>
      <w:r w:rsidRPr="00715371">
        <w:rPr>
          <w:rFonts w:cs="Times New Roman"/>
          <w:bCs/>
          <w:i/>
          <w:sz w:val="28"/>
          <w:szCs w:val="28"/>
        </w:rPr>
        <w:t>Higher Education, 76</w:t>
      </w:r>
      <w:r w:rsidRPr="00F421DC">
        <w:rPr>
          <w:rFonts w:cs="Times New Roman"/>
          <w:bCs/>
          <w:sz w:val="28"/>
          <w:szCs w:val="28"/>
        </w:rPr>
        <w:t xml:space="preserve"> </w:t>
      </w:r>
      <w:bookmarkEnd w:id="2"/>
      <w:r w:rsidRPr="00F421DC">
        <w:rPr>
          <w:rFonts w:cs="Times New Roman"/>
          <w:bCs/>
          <w:sz w:val="28"/>
          <w:szCs w:val="28"/>
        </w:rPr>
        <w:t>(4), pp. 701-715.</w:t>
      </w:r>
    </w:p>
    <w:p w:rsidR="00CD6E02" w:rsidRPr="00F421DC" w:rsidRDefault="00CD6E02" w:rsidP="00F421DC">
      <w:pPr>
        <w:tabs>
          <w:tab w:val="left" w:pos="709"/>
          <w:tab w:val="left" w:pos="993"/>
        </w:tabs>
        <w:spacing w:after="120" w:line="240" w:lineRule="auto"/>
        <w:ind w:firstLine="567"/>
        <w:contextualSpacing/>
        <w:jc w:val="both"/>
        <w:rPr>
          <w:rStyle w:val="Hyperlink"/>
          <w:rFonts w:cs="Times New Roman"/>
          <w:color w:val="auto"/>
          <w:sz w:val="28"/>
          <w:szCs w:val="28"/>
        </w:rPr>
      </w:pPr>
      <w:r w:rsidRPr="00F421DC">
        <w:rPr>
          <w:rFonts w:eastAsia="Calibri" w:cs="Times New Roman"/>
          <w:sz w:val="28"/>
          <w:szCs w:val="28"/>
        </w:rPr>
        <w:t>[</w:t>
      </w:r>
      <w:r w:rsidR="006A7DCD" w:rsidRPr="00F421DC">
        <w:rPr>
          <w:rFonts w:eastAsia="Calibri" w:cs="Times New Roman"/>
          <w:sz w:val="28"/>
          <w:szCs w:val="28"/>
        </w:rPr>
        <w:t>8</w:t>
      </w:r>
      <w:r w:rsidRPr="00F421DC">
        <w:rPr>
          <w:rFonts w:eastAsia="Calibri" w:cs="Times New Roman"/>
          <w:sz w:val="28"/>
          <w:szCs w:val="28"/>
        </w:rPr>
        <w:t xml:space="preserve">] PROPHE (2010), </w:t>
      </w:r>
      <w:r w:rsidRPr="00F421DC">
        <w:rPr>
          <w:rFonts w:eastAsia="Calibri" w:cs="Times New Roman"/>
          <w:i/>
          <w:sz w:val="28"/>
          <w:szCs w:val="28"/>
        </w:rPr>
        <w:t>Global Private and total Higher Education Enrollment by Region and Country</w:t>
      </w:r>
      <w:r w:rsidRPr="00F421DC">
        <w:rPr>
          <w:rFonts w:eastAsia="Calibri" w:cs="Times New Roman"/>
          <w:sz w:val="28"/>
          <w:szCs w:val="28"/>
        </w:rPr>
        <w:t xml:space="preserve">, available at </w:t>
      </w:r>
      <w:hyperlink r:id="rId9" w:history="1">
        <w:r w:rsidRPr="00F421DC">
          <w:rPr>
            <w:rStyle w:val="Hyperlink"/>
            <w:rFonts w:cs="Times New Roman"/>
            <w:color w:val="auto"/>
            <w:sz w:val="28"/>
            <w:szCs w:val="28"/>
          </w:rPr>
          <w:t>https://www.prophe.org/en/global-data/global-data/global-enrollment-by-region-and-country/</w:t>
        </w:r>
      </w:hyperlink>
    </w:p>
    <w:p w:rsidR="0027395D" w:rsidRPr="00F421DC" w:rsidRDefault="0027395D" w:rsidP="00F421DC">
      <w:pPr>
        <w:tabs>
          <w:tab w:val="left" w:pos="567"/>
        </w:tabs>
        <w:spacing w:after="120" w:line="240" w:lineRule="auto"/>
        <w:ind w:firstLine="567"/>
        <w:contextualSpacing/>
        <w:jc w:val="both"/>
        <w:rPr>
          <w:rFonts w:eastAsia="Times New Roman" w:cs="Times New Roman"/>
          <w:sz w:val="28"/>
          <w:szCs w:val="28"/>
        </w:rPr>
      </w:pPr>
      <w:r w:rsidRPr="00F421DC">
        <w:rPr>
          <w:rFonts w:cs="Times New Roman"/>
          <w:bCs/>
          <w:sz w:val="28"/>
          <w:szCs w:val="28"/>
        </w:rPr>
        <w:t>[</w:t>
      </w:r>
      <w:r w:rsidR="006A7DCD" w:rsidRPr="00F421DC">
        <w:rPr>
          <w:rFonts w:cs="Times New Roman"/>
          <w:bCs/>
          <w:sz w:val="28"/>
          <w:szCs w:val="28"/>
        </w:rPr>
        <w:t>9</w:t>
      </w:r>
      <w:r w:rsidRPr="00F421DC">
        <w:rPr>
          <w:rFonts w:cs="Times New Roman"/>
          <w:bCs/>
          <w:sz w:val="28"/>
          <w:szCs w:val="28"/>
        </w:rPr>
        <w:t xml:space="preserve">] Word Bank (2005), </w:t>
      </w:r>
      <w:r w:rsidRPr="00F421DC">
        <w:rPr>
          <w:rFonts w:cs="Times New Roman"/>
          <w:bCs/>
          <w:i/>
          <w:sz w:val="28"/>
          <w:szCs w:val="28"/>
        </w:rPr>
        <w:t>Higher Education in Latin America: International Dimension</w:t>
      </w:r>
      <w:r w:rsidRPr="00F421DC">
        <w:rPr>
          <w:rFonts w:cs="Times New Roman"/>
          <w:bCs/>
          <w:sz w:val="28"/>
          <w:szCs w:val="28"/>
        </w:rPr>
        <w:t>, Washington, D.C, pp.1-38.</w:t>
      </w:r>
    </w:p>
    <w:p w:rsidR="0027395D" w:rsidRPr="00F421DC" w:rsidRDefault="0027395D" w:rsidP="00F421DC">
      <w:pPr>
        <w:tabs>
          <w:tab w:val="left" w:pos="709"/>
          <w:tab w:val="left" w:pos="993"/>
        </w:tabs>
        <w:spacing w:after="120" w:line="240" w:lineRule="auto"/>
        <w:ind w:firstLine="567"/>
        <w:contextualSpacing/>
        <w:jc w:val="both"/>
        <w:rPr>
          <w:rFonts w:cs="Times New Roman"/>
          <w:sz w:val="28"/>
          <w:szCs w:val="28"/>
        </w:rPr>
      </w:pPr>
    </w:p>
    <w:p w:rsidR="00CE3CFD" w:rsidRPr="00F421DC" w:rsidRDefault="00F6763F" w:rsidP="00F421DC">
      <w:pPr>
        <w:tabs>
          <w:tab w:val="left" w:pos="567"/>
        </w:tabs>
        <w:spacing w:after="120" w:line="240" w:lineRule="auto"/>
        <w:ind w:firstLine="567"/>
        <w:contextualSpacing/>
        <w:jc w:val="both"/>
        <w:rPr>
          <w:rFonts w:cs="Times New Roman"/>
          <w:sz w:val="28"/>
          <w:szCs w:val="28"/>
        </w:rPr>
      </w:pPr>
      <w:r w:rsidRPr="00F421DC">
        <w:rPr>
          <w:rFonts w:cs="Times New Roman"/>
          <w:sz w:val="28"/>
          <w:szCs w:val="28"/>
        </w:rPr>
        <w:t xml:space="preserve"> </w:t>
      </w:r>
    </w:p>
    <w:p w:rsidR="00232BBD" w:rsidRPr="00F421DC" w:rsidRDefault="00232BBD" w:rsidP="00F421DC">
      <w:pPr>
        <w:spacing w:after="120" w:line="240" w:lineRule="auto"/>
        <w:jc w:val="both"/>
        <w:rPr>
          <w:rFonts w:eastAsia="Calibri" w:cs="Times New Roman"/>
          <w:i/>
          <w:sz w:val="28"/>
          <w:szCs w:val="28"/>
          <w:lang w:eastAsia="vi-VN"/>
        </w:rPr>
      </w:pPr>
      <w:r w:rsidRPr="00F421DC">
        <w:rPr>
          <w:rFonts w:eastAsia="Calibri" w:cs="Times New Roman"/>
          <w:i/>
          <w:sz w:val="28"/>
          <w:szCs w:val="28"/>
          <w:lang w:eastAsia="vi-VN"/>
        </w:rPr>
        <w:t>******************</w:t>
      </w:r>
    </w:p>
    <w:p w:rsidR="00F70FD9" w:rsidRPr="00F421DC" w:rsidRDefault="00F70FD9" w:rsidP="00F421DC">
      <w:pPr>
        <w:spacing w:after="120" w:line="240" w:lineRule="auto"/>
        <w:jc w:val="both"/>
        <w:rPr>
          <w:rFonts w:eastAsia="Calibri" w:cs="Times New Roman"/>
          <w:i/>
          <w:sz w:val="28"/>
          <w:szCs w:val="28"/>
          <w:lang w:eastAsia="vi-VN"/>
        </w:rPr>
      </w:pPr>
      <w:r w:rsidRPr="00F421DC">
        <w:rPr>
          <w:rFonts w:eastAsia="Calibri" w:cs="Times New Roman"/>
          <w:i/>
          <w:sz w:val="28"/>
          <w:szCs w:val="28"/>
          <w:lang w:eastAsia="vi-VN"/>
        </w:rPr>
        <w:t>TS. Trần Văn Hùng, Trường Đại học Duy Tân, 254 Nguyễn Văn Linh, Tp. Đà Nẵng, ĐT: 0989.638.374, email: tranhung2050@gmail.com</w:t>
      </w:r>
    </w:p>
    <w:p w:rsidR="00747824" w:rsidRPr="00F421DC" w:rsidRDefault="00747824" w:rsidP="00F421DC">
      <w:pPr>
        <w:tabs>
          <w:tab w:val="left" w:pos="709"/>
          <w:tab w:val="left" w:pos="993"/>
        </w:tabs>
        <w:spacing w:after="120" w:line="240" w:lineRule="auto"/>
        <w:ind w:firstLine="567"/>
        <w:contextualSpacing/>
        <w:jc w:val="both"/>
        <w:rPr>
          <w:rFonts w:eastAsia="Calibri" w:cs="Times New Roman"/>
          <w:sz w:val="28"/>
          <w:szCs w:val="28"/>
        </w:rPr>
      </w:pPr>
    </w:p>
    <w:sectPr w:rsidR="00747824" w:rsidRPr="00F421DC" w:rsidSect="00767DC3">
      <w:footerReference w:type="default" r:id="rId10"/>
      <w:pgSz w:w="11907" w:h="16840" w:code="9"/>
      <w:pgMar w:top="1080" w:right="992" w:bottom="990" w:left="1440" w:header="720" w:footer="4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154" w:rsidRDefault="00C51154" w:rsidP="00F77384">
      <w:pPr>
        <w:spacing w:after="0" w:line="240" w:lineRule="auto"/>
      </w:pPr>
      <w:r>
        <w:separator/>
      </w:r>
    </w:p>
  </w:endnote>
  <w:endnote w:type="continuationSeparator" w:id="0">
    <w:p w:rsidR="00C51154" w:rsidRDefault="00C51154" w:rsidP="00F7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659629"/>
      <w:docPartObj>
        <w:docPartGallery w:val="Page Numbers (Bottom of Page)"/>
        <w:docPartUnique/>
      </w:docPartObj>
    </w:sdtPr>
    <w:sdtEndPr>
      <w:rPr>
        <w:noProof/>
      </w:rPr>
    </w:sdtEndPr>
    <w:sdtContent>
      <w:p w:rsidR="007728C2" w:rsidRDefault="007728C2">
        <w:pPr>
          <w:pStyle w:val="Footer"/>
          <w:jc w:val="center"/>
        </w:pPr>
        <w:r>
          <w:fldChar w:fldCharType="begin"/>
        </w:r>
        <w:r>
          <w:instrText xml:space="preserve"> PAGE   \* MERGEFORMAT </w:instrText>
        </w:r>
        <w:r>
          <w:fldChar w:fldCharType="separate"/>
        </w:r>
        <w:r w:rsidR="00715371">
          <w:rPr>
            <w:noProof/>
          </w:rPr>
          <w:t>5</w:t>
        </w:r>
        <w:r>
          <w:rPr>
            <w:noProof/>
          </w:rPr>
          <w:fldChar w:fldCharType="end"/>
        </w:r>
      </w:p>
    </w:sdtContent>
  </w:sdt>
  <w:p w:rsidR="007728C2" w:rsidRDefault="00772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154" w:rsidRDefault="00C51154" w:rsidP="00F77384">
      <w:pPr>
        <w:spacing w:after="0" w:line="240" w:lineRule="auto"/>
      </w:pPr>
      <w:r>
        <w:separator/>
      </w:r>
    </w:p>
  </w:footnote>
  <w:footnote w:type="continuationSeparator" w:id="0">
    <w:p w:rsidR="00C51154" w:rsidRDefault="00C51154" w:rsidP="00F773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1475B"/>
    <w:multiLevelType w:val="multilevel"/>
    <w:tmpl w:val="DBFAA1E2"/>
    <w:lvl w:ilvl="0">
      <w:start w:val="1"/>
      <w:numFmt w:val="decimal"/>
      <w:lvlText w:val="%1."/>
      <w:lvlJc w:val="left"/>
      <w:pPr>
        <w:ind w:left="93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2100" w:hanging="108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760" w:hanging="1440"/>
      </w:pPr>
      <w:rPr>
        <w:rFonts w:hint="default"/>
      </w:rPr>
    </w:lvl>
    <w:lvl w:ilvl="6">
      <w:start w:val="1"/>
      <w:numFmt w:val="decimal"/>
      <w:isLgl/>
      <w:lvlText w:val="%1.%2.%3.%4.%5.%6.%7."/>
      <w:lvlJc w:val="left"/>
      <w:pPr>
        <w:ind w:left="327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30" w:hanging="2160"/>
      </w:pPr>
      <w:rPr>
        <w:rFonts w:hint="default"/>
      </w:rPr>
    </w:lvl>
  </w:abstractNum>
  <w:abstractNum w:abstractNumId="1">
    <w:nsid w:val="591E2CBF"/>
    <w:multiLevelType w:val="hybridMultilevel"/>
    <w:tmpl w:val="BA12E9E2"/>
    <w:lvl w:ilvl="0" w:tplc="6C3C9DC4">
      <w:start w:val="1"/>
      <w:numFmt w:val="decimal"/>
      <w:lvlText w:val="%1."/>
      <w:lvlJc w:val="left"/>
      <w:pPr>
        <w:ind w:left="1080" w:hanging="360"/>
      </w:pPr>
      <w:rPr>
        <w:rFonts w:cs="Times New Roman" w:hint="default"/>
        <w:sz w:val="28"/>
        <w:szCs w:val="2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60CD67A3"/>
    <w:multiLevelType w:val="hybridMultilevel"/>
    <w:tmpl w:val="9D82F744"/>
    <w:lvl w:ilvl="0" w:tplc="C366C8EC">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08D"/>
    <w:rsid w:val="00001DAE"/>
    <w:rsid w:val="00014D51"/>
    <w:rsid w:val="00020111"/>
    <w:rsid w:val="00026DA2"/>
    <w:rsid w:val="000272E6"/>
    <w:rsid w:val="00032FDC"/>
    <w:rsid w:val="00033D3B"/>
    <w:rsid w:val="00047A0B"/>
    <w:rsid w:val="0005423E"/>
    <w:rsid w:val="00054DA6"/>
    <w:rsid w:val="000565AF"/>
    <w:rsid w:val="000631DD"/>
    <w:rsid w:val="0009034D"/>
    <w:rsid w:val="00092276"/>
    <w:rsid w:val="000941BA"/>
    <w:rsid w:val="00096260"/>
    <w:rsid w:val="000B00E8"/>
    <w:rsid w:val="00103BB2"/>
    <w:rsid w:val="001055DB"/>
    <w:rsid w:val="00113391"/>
    <w:rsid w:val="00130CC4"/>
    <w:rsid w:val="001334A2"/>
    <w:rsid w:val="0014187E"/>
    <w:rsid w:val="00144EE8"/>
    <w:rsid w:val="001462A8"/>
    <w:rsid w:val="00147B44"/>
    <w:rsid w:val="00153533"/>
    <w:rsid w:val="00160C42"/>
    <w:rsid w:val="00166690"/>
    <w:rsid w:val="0016796A"/>
    <w:rsid w:val="00172F04"/>
    <w:rsid w:val="00175132"/>
    <w:rsid w:val="001768F2"/>
    <w:rsid w:val="00181211"/>
    <w:rsid w:val="00184FE2"/>
    <w:rsid w:val="001A5BE2"/>
    <w:rsid w:val="001A61AB"/>
    <w:rsid w:val="001C0149"/>
    <w:rsid w:val="001E085A"/>
    <w:rsid w:val="001E2D73"/>
    <w:rsid w:val="001E6D8F"/>
    <w:rsid w:val="001F6F94"/>
    <w:rsid w:val="002041E2"/>
    <w:rsid w:val="002108E5"/>
    <w:rsid w:val="00217495"/>
    <w:rsid w:val="0022114A"/>
    <w:rsid w:val="00223534"/>
    <w:rsid w:val="00232BBD"/>
    <w:rsid w:val="002548A7"/>
    <w:rsid w:val="002657A0"/>
    <w:rsid w:val="00265F32"/>
    <w:rsid w:val="00270478"/>
    <w:rsid w:val="00273079"/>
    <w:rsid w:val="0027395D"/>
    <w:rsid w:val="002766DC"/>
    <w:rsid w:val="002841CA"/>
    <w:rsid w:val="00286094"/>
    <w:rsid w:val="002927CD"/>
    <w:rsid w:val="002A3E64"/>
    <w:rsid w:val="002A450A"/>
    <w:rsid w:val="002B2871"/>
    <w:rsid w:val="002C2FE8"/>
    <w:rsid w:val="002D4470"/>
    <w:rsid w:val="002E2895"/>
    <w:rsid w:val="002E5664"/>
    <w:rsid w:val="002F7B19"/>
    <w:rsid w:val="00304CEF"/>
    <w:rsid w:val="00312742"/>
    <w:rsid w:val="0031564A"/>
    <w:rsid w:val="0032398A"/>
    <w:rsid w:val="00325325"/>
    <w:rsid w:val="0032705D"/>
    <w:rsid w:val="00331391"/>
    <w:rsid w:val="00334E9B"/>
    <w:rsid w:val="00340604"/>
    <w:rsid w:val="0034079F"/>
    <w:rsid w:val="003428F1"/>
    <w:rsid w:val="00342C3E"/>
    <w:rsid w:val="003726FA"/>
    <w:rsid w:val="00374DE0"/>
    <w:rsid w:val="0037755F"/>
    <w:rsid w:val="0038413E"/>
    <w:rsid w:val="003A4D0D"/>
    <w:rsid w:val="003A4ED0"/>
    <w:rsid w:val="003A573D"/>
    <w:rsid w:val="003A7390"/>
    <w:rsid w:val="003B1137"/>
    <w:rsid w:val="003B35D2"/>
    <w:rsid w:val="003B7651"/>
    <w:rsid w:val="003B7674"/>
    <w:rsid w:val="003D1C05"/>
    <w:rsid w:val="003E557D"/>
    <w:rsid w:val="003F52EE"/>
    <w:rsid w:val="003F55AB"/>
    <w:rsid w:val="003F7BB0"/>
    <w:rsid w:val="00403AB5"/>
    <w:rsid w:val="00404EC7"/>
    <w:rsid w:val="004120F5"/>
    <w:rsid w:val="00412CD6"/>
    <w:rsid w:val="0041695C"/>
    <w:rsid w:val="004175C4"/>
    <w:rsid w:val="00422F8C"/>
    <w:rsid w:val="004441DD"/>
    <w:rsid w:val="004457C4"/>
    <w:rsid w:val="00455D42"/>
    <w:rsid w:val="004745CC"/>
    <w:rsid w:val="00487CC1"/>
    <w:rsid w:val="004A0325"/>
    <w:rsid w:val="004B49F0"/>
    <w:rsid w:val="004C0174"/>
    <w:rsid w:val="004C37F1"/>
    <w:rsid w:val="004C4195"/>
    <w:rsid w:val="004D4149"/>
    <w:rsid w:val="004D7D82"/>
    <w:rsid w:val="004E2B6C"/>
    <w:rsid w:val="004F2014"/>
    <w:rsid w:val="0050215F"/>
    <w:rsid w:val="0050434D"/>
    <w:rsid w:val="0051074E"/>
    <w:rsid w:val="005131AE"/>
    <w:rsid w:val="0052568D"/>
    <w:rsid w:val="005307F4"/>
    <w:rsid w:val="00530FE8"/>
    <w:rsid w:val="00531D35"/>
    <w:rsid w:val="00535140"/>
    <w:rsid w:val="00542DCA"/>
    <w:rsid w:val="00546B61"/>
    <w:rsid w:val="0055795A"/>
    <w:rsid w:val="00561560"/>
    <w:rsid w:val="005636E4"/>
    <w:rsid w:val="005776D8"/>
    <w:rsid w:val="00584538"/>
    <w:rsid w:val="00584CD9"/>
    <w:rsid w:val="00587B56"/>
    <w:rsid w:val="005A3F19"/>
    <w:rsid w:val="005A793A"/>
    <w:rsid w:val="005C320C"/>
    <w:rsid w:val="005D219D"/>
    <w:rsid w:val="005D7370"/>
    <w:rsid w:val="006025C2"/>
    <w:rsid w:val="006102A0"/>
    <w:rsid w:val="006121B6"/>
    <w:rsid w:val="00622199"/>
    <w:rsid w:val="00623D92"/>
    <w:rsid w:val="00630C07"/>
    <w:rsid w:val="0063265F"/>
    <w:rsid w:val="006355C8"/>
    <w:rsid w:val="00642695"/>
    <w:rsid w:val="006441E6"/>
    <w:rsid w:val="00685DE6"/>
    <w:rsid w:val="00687C16"/>
    <w:rsid w:val="00692F47"/>
    <w:rsid w:val="006A0FFA"/>
    <w:rsid w:val="006A5669"/>
    <w:rsid w:val="006A7DCD"/>
    <w:rsid w:val="006B6011"/>
    <w:rsid w:val="006C1E45"/>
    <w:rsid w:val="006C22D9"/>
    <w:rsid w:val="006C7376"/>
    <w:rsid w:val="006F1789"/>
    <w:rsid w:val="006F36B4"/>
    <w:rsid w:val="00700525"/>
    <w:rsid w:val="00714BBD"/>
    <w:rsid w:val="00715371"/>
    <w:rsid w:val="00722F94"/>
    <w:rsid w:val="00724D2D"/>
    <w:rsid w:val="00727B50"/>
    <w:rsid w:val="00730501"/>
    <w:rsid w:val="00742CE8"/>
    <w:rsid w:val="0074685E"/>
    <w:rsid w:val="00747824"/>
    <w:rsid w:val="00755B4A"/>
    <w:rsid w:val="00762273"/>
    <w:rsid w:val="00767DC3"/>
    <w:rsid w:val="007728C2"/>
    <w:rsid w:val="00773D78"/>
    <w:rsid w:val="00784D5A"/>
    <w:rsid w:val="007934C3"/>
    <w:rsid w:val="00794C9E"/>
    <w:rsid w:val="007A3721"/>
    <w:rsid w:val="007A463F"/>
    <w:rsid w:val="007A4BD4"/>
    <w:rsid w:val="007A5984"/>
    <w:rsid w:val="007A7253"/>
    <w:rsid w:val="007B4C5C"/>
    <w:rsid w:val="007C4AF0"/>
    <w:rsid w:val="007E7173"/>
    <w:rsid w:val="007F73B5"/>
    <w:rsid w:val="008024DD"/>
    <w:rsid w:val="00802FF6"/>
    <w:rsid w:val="00806639"/>
    <w:rsid w:val="00811B4A"/>
    <w:rsid w:val="00815ADC"/>
    <w:rsid w:val="00817D19"/>
    <w:rsid w:val="00822DD9"/>
    <w:rsid w:val="00827B48"/>
    <w:rsid w:val="00833456"/>
    <w:rsid w:val="00835327"/>
    <w:rsid w:val="0083688D"/>
    <w:rsid w:val="008379D6"/>
    <w:rsid w:val="00845C6C"/>
    <w:rsid w:val="008515F5"/>
    <w:rsid w:val="008563B7"/>
    <w:rsid w:val="008610ED"/>
    <w:rsid w:val="0086704F"/>
    <w:rsid w:val="008725E0"/>
    <w:rsid w:val="00873059"/>
    <w:rsid w:val="008826F1"/>
    <w:rsid w:val="0088306E"/>
    <w:rsid w:val="00885328"/>
    <w:rsid w:val="00891B3E"/>
    <w:rsid w:val="008B33C2"/>
    <w:rsid w:val="008D01E3"/>
    <w:rsid w:val="008D4032"/>
    <w:rsid w:val="008D4A5C"/>
    <w:rsid w:val="008E1F6A"/>
    <w:rsid w:val="008E31E8"/>
    <w:rsid w:val="008F4ABA"/>
    <w:rsid w:val="008F72A7"/>
    <w:rsid w:val="008F7A84"/>
    <w:rsid w:val="00900778"/>
    <w:rsid w:val="00901847"/>
    <w:rsid w:val="00901863"/>
    <w:rsid w:val="00911C94"/>
    <w:rsid w:val="00912FE6"/>
    <w:rsid w:val="0091572F"/>
    <w:rsid w:val="00926150"/>
    <w:rsid w:val="009406AD"/>
    <w:rsid w:val="009415B5"/>
    <w:rsid w:val="00942732"/>
    <w:rsid w:val="00945E46"/>
    <w:rsid w:val="009551FC"/>
    <w:rsid w:val="00964C38"/>
    <w:rsid w:val="0097185E"/>
    <w:rsid w:val="00982A3B"/>
    <w:rsid w:val="00990E18"/>
    <w:rsid w:val="009A2046"/>
    <w:rsid w:val="009A308D"/>
    <w:rsid w:val="009A4B14"/>
    <w:rsid w:val="009B519F"/>
    <w:rsid w:val="009C2284"/>
    <w:rsid w:val="009D0182"/>
    <w:rsid w:val="009E2478"/>
    <w:rsid w:val="009F0A14"/>
    <w:rsid w:val="009F1BB9"/>
    <w:rsid w:val="00A03AF4"/>
    <w:rsid w:val="00A06F36"/>
    <w:rsid w:val="00A16145"/>
    <w:rsid w:val="00A231C3"/>
    <w:rsid w:val="00A26ADC"/>
    <w:rsid w:val="00A279CC"/>
    <w:rsid w:val="00A303E2"/>
    <w:rsid w:val="00A32150"/>
    <w:rsid w:val="00A3735E"/>
    <w:rsid w:val="00A431D3"/>
    <w:rsid w:val="00A5695A"/>
    <w:rsid w:val="00A75AAE"/>
    <w:rsid w:val="00A75FC4"/>
    <w:rsid w:val="00A830DE"/>
    <w:rsid w:val="00A84404"/>
    <w:rsid w:val="00A8631A"/>
    <w:rsid w:val="00A95928"/>
    <w:rsid w:val="00AA2A97"/>
    <w:rsid w:val="00AA3EDF"/>
    <w:rsid w:val="00AA5C68"/>
    <w:rsid w:val="00AB1A21"/>
    <w:rsid w:val="00AC12B1"/>
    <w:rsid w:val="00B032E1"/>
    <w:rsid w:val="00B10006"/>
    <w:rsid w:val="00B11626"/>
    <w:rsid w:val="00B17026"/>
    <w:rsid w:val="00B20B2C"/>
    <w:rsid w:val="00B3336E"/>
    <w:rsid w:val="00B33A59"/>
    <w:rsid w:val="00B50E10"/>
    <w:rsid w:val="00B52CB0"/>
    <w:rsid w:val="00B53CA0"/>
    <w:rsid w:val="00B56332"/>
    <w:rsid w:val="00B630B2"/>
    <w:rsid w:val="00B7280F"/>
    <w:rsid w:val="00B7453B"/>
    <w:rsid w:val="00B809A5"/>
    <w:rsid w:val="00B9445E"/>
    <w:rsid w:val="00B9520F"/>
    <w:rsid w:val="00BA1853"/>
    <w:rsid w:val="00BA1C9D"/>
    <w:rsid w:val="00BA7A7E"/>
    <w:rsid w:val="00BB6863"/>
    <w:rsid w:val="00BF3736"/>
    <w:rsid w:val="00BF7AE6"/>
    <w:rsid w:val="00C05003"/>
    <w:rsid w:val="00C07A66"/>
    <w:rsid w:val="00C13606"/>
    <w:rsid w:val="00C17FDF"/>
    <w:rsid w:val="00C218B4"/>
    <w:rsid w:val="00C31E43"/>
    <w:rsid w:val="00C34CC5"/>
    <w:rsid w:val="00C354B2"/>
    <w:rsid w:val="00C417FE"/>
    <w:rsid w:val="00C51154"/>
    <w:rsid w:val="00C545F5"/>
    <w:rsid w:val="00C56FEA"/>
    <w:rsid w:val="00C65491"/>
    <w:rsid w:val="00C740FD"/>
    <w:rsid w:val="00C8399B"/>
    <w:rsid w:val="00C917DC"/>
    <w:rsid w:val="00C94F1A"/>
    <w:rsid w:val="00CB20D6"/>
    <w:rsid w:val="00CB414E"/>
    <w:rsid w:val="00CB74FB"/>
    <w:rsid w:val="00CC34B8"/>
    <w:rsid w:val="00CC3DC8"/>
    <w:rsid w:val="00CD6E02"/>
    <w:rsid w:val="00CE3CFD"/>
    <w:rsid w:val="00CE3F3F"/>
    <w:rsid w:val="00CE56A2"/>
    <w:rsid w:val="00CF2F04"/>
    <w:rsid w:val="00CF695C"/>
    <w:rsid w:val="00D0423E"/>
    <w:rsid w:val="00D116FF"/>
    <w:rsid w:val="00D1497C"/>
    <w:rsid w:val="00D15711"/>
    <w:rsid w:val="00D179E7"/>
    <w:rsid w:val="00D239BB"/>
    <w:rsid w:val="00D269C4"/>
    <w:rsid w:val="00D272FD"/>
    <w:rsid w:val="00D40282"/>
    <w:rsid w:val="00D53D45"/>
    <w:rsid w:val="00D60858"/>
    <w:rsid w:val="00D65A5F"/>
    <w:rsid w:val="00D662C0"/>
    <w:rsid w:val="00D77908"/>
    <w:rsid w:val="00D80DD3"/>
    <w:rsid w:val="00D83317"/>
    <w:rsid w:val="00D84252"/>
    <w:rsid w:val="00D84810"/>
    <w:rsid w:val="00D84FA1"/>
    <w:rsid w:val="00D91C5C"/>
    <w:rsid w:val="00D945AA"/>
    <w:rsid w:val="00D956CE"/>
    <w:rsid w:val="00D9799F"/>
    <w:rsid w:val="00DA32F7"/>
    <w:rsid w:val="00DC6905"/>
    <w:rsid w:val="00DD37CA"/>
    <w:rsid w:val="00DE0715"/>
    <w:rsid w:val="00DE0BB1"/>
    <w:rsid w:val="00DE4EB0"/>
    <w:rsid w:val="00DF35FC"/>
    <w:rsid w:val="00DF40C6"/>
    <w:rsid w:val="00DF55E0"/>
    <w:rsid w:val="00E16020"/>
    <w:rsid w:val="00E16272"/>
    <w:rsid w:val="00E32E51"/>
    <w:rsid w:val="00E33CE4"/>
    <w:rsid w:val="00E33F43"/>
    <w:rsid w:val="00E37221"/>
    <w:rsid w:val="00E44929"/>
    <w:rsid w:val="00E45295"/>
    <w:rsid w:val="00E540A8"/>
    <w:rsid w:val="00E556A3"/>
    <w:rsid w:val="00E5618B"/>
    <w:rsid w:val="00E628A0"/>
    <w:rsid w:val="00E70D71"/>
    <w:rsid w:val="00E72C60"/>
    <w:rsid w:val="00E81EA0"/>
    <w:rsid w:val="00E8329D"/>
    <w:rsid w:val="00E85A3E"/>
    <w:rsid w:val="00E87CFC"/>
    <w:rsid w:val="00E925AE"/>
    <w:rsid w:val="00EA4271"/>
    <w:rsid w:val="00EC1B49"/>
    <w:rsid w:val="00EC5357"/>
    <w:rsid w:val="00ED4708"/>
    <w:rsid w:val="00ED65D0"/>
    <w:rsid w:val="00EE78E4"/>
    <w:rsid w:val="00EF2421"/>
    <w:rsid w:val="00EF3D0C"/>
    <w:rsid w:val="00EF75AC"/>
    <w:rsid w:val="00F0536A"/>
    <w:rsid w:val="00F06B17"/>
    <w:rsid w:val="00F123CE"/>
    <w:rsid w:val="00F12756"/>
    <w:rsid w:val="00F23DA3"/>
    <w:rsid w:val="00F31838"/>
    <w:rsid w:val="00F322A0"/>
    <w:rsid w:val="00F421DC"/>
    <w:rsid w:val="00F42585"/>
    <w:rsid w:val="00F4488B"/>
    <w:rsid w:val="00F547CC"/>
    <w:rsid w:val="00F560C9"/>
    <w:rsid w:val="00F635CE"/>
    <w:rsid w:val="00F64BB0"/>
    <w:rsid w:val="00F66CAE"/>
    <w:rsid w:val="00F6763F"/>
    <w:rsid w:val="00F70FD9"/>
    <w:rsid w:val="00F76434"/>
    <w:rsid w:val="00F77384"/>
    <w:rsid w:val="00F81473"/>
    <w:rsid w:val="00F8550A"/>
    <w:rsid w:val="00FA31A8"/>
    <w:rsid w:val="00FA6084"/>
    <w:rsid w:val="00FB3980"/>
    <w:rsid w:val="00FB6523"/>
    <w:rsid w:val="00FB7CA8"/>
    <w:rsid w:val="00FD524C"/>
    <w:rsid w:val="00FE1CF6"/>
    <w:rsid w:val="00FE2ADB"/>
    <w:rsid w:val="00FF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71CCD-8305-4941-877F-ED00F4E1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7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7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384"/>
  </w:style>
  <w:style w:type="paragraph" w:styleId="Footer">
    <w:name w:val="footer"/>
    <w:basedOn w:val="Normal"/>
    <w:link w:val="FooterChar"/>
    <w:uiPriority w:val="99"/>
    <w:unhideWhenUsed/>
    <w:rsid w:val="00F77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384"/>
  </w:style>
  <w:style w:type="character" w:styleId="Hyperlink">
    <w:name w:val="Hyperlink"/>
    <w:basedOn w:val="DefaultParagraphFont"/>
    <w:uiPriority w:val="99"/>
    <w:unhideWhenUsed/>
    <w:rsid w:val="00747824"/>
    <w:rPr>
      <w:color w:val="0563C1" w:themeColor="hyperlink"/>
      <w:u w:val="single"/>
    </w:rPr>
  </w:style>
  <w:style w:type="character" w:customStyle="1" w:styleId="fontstyle01">
    <w:name w:val="fontstyle01"/>
    <w:basedOn w:val="DefaultParagraphFont"/>
    <w:rsid w:val="002E5664"/>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90608">
      <w:bodyDiv w:val="1"/>
      <w:marLeft w:val="0"/>
      <w:marRight w:val="0"/>
      <w:marTop w:val="0"/>
      <w:marBottom w:val="0"/>
      <w:divBdr>
        <w:top w:val="none" w:sz="0" w:space="0" w:color="auto"/>
        <w:left w:val="none" w:sz="0" w:space="0" w:color="auto"/>
        <w:bottom w:val="none" w:sz="0" w:space="0" w:color="auto"/>
        <w:right w:val="none" w:sz="0" w:space="0" w:color="auto"/>
      </w:divBdr>
    </w:div>
    <w:div w:id="1858078955">
      <w:bodyDiv w:val="1"/>
      <w:marLeft w:val="0"/>
      <w:marRight w:val="0"/>
      <w:marTop w:val="0"/>
      <w:marBottom w:val="0"/>
      <w:divBdr>
        <w:top w:val="none" w:sz="0" w:space="0" w:color="auto"/>
        <w:left w:val="none" w:sz="0" w:space="0" w:color="auto"/>
        <w:bottom w:val="none" w:sz="0" w:space="0" w:color="auto"/>
        <w:right w:val="none" w:sz="0" w:space="0" w:color="auto"/>
      </w:divBdr>
      <w:divsChild>
        <w:div w:id="1073356288">
          <w:marLeft w:val="-240"/>
          <w:marRight w:val="-240"/>
          <w:marTop w:val="0"/>
          <w:marBottom w:val="0"/>
          <w:divBdr>
            <w:top w:val="none" w:sz="0" w:space="0" w:color="auto"/>
            <w:left w:val="none" w:sz="0" w:space="0" w:color="auto"/>
            <w:bottom w:val="none" w:sz="0" w:space="0" w:color="auto"/>
            <w:right w:val="none" w:sz="0" w:space="0" w:color="auto"/>
          </w:divBdr>
          <w:divsChild>
            <w:div w:id="20299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universit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ophe.org/en/global-data/global-data/global-enrollment-by-region-and-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7AE85-240D-4898-9FEE-267E1F08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2558</TotalTime>
  <Pages>6</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304</cp:revision>
  <dcterms:created xsi:type="dcterms:W3CDTF">2018-09-07T14:01:00Z</dcterms:created>
  <dcterms:modified xsi:type="dcterms:W3CDTF">2019-02-20T03:11:00Z</dcterms:modified>
</cp:coreProperties>
</file>